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5"/>
        <w:framePr/>
      </w:pPr>
      <w:r>
        <w:rPr>
          <w:rFonts w:ascii="Times New Roman"/>
        </w:rPr>
        <w:t>ICS</w:t>
      </w:r>
      <w:r>
        <w:rPr>
          <w:rFonts w:ascii="Cambria Math" w:hAnsi="Cambria Math" w:cs="Cambria Math"/>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点击此处添加ICS号</w:t>
      </w:r>
      <w:r>
        <w:fldChar w:fldCharType="end"/>
      </w:r>
      <w:bookmarkEnd w:id="0"/>
    </w:p>
    <w:p>
      <w:pPr>
        <w:pStyle w:val="115"/>
        <w:framePr/>
      </w:pPr>
      <w:bookmarkStart w:id="1"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点击此处添加中国标准文献分类号</w:t>
      </w:r>
      <w:r>
        <w:fldChar w:fldCharType="end"/>
      </w:r>
      <w:bookmarkEnd w:id="1"/>
    </w:p>
    <w:tbl>
      <w:tblPr>
        <w:tblStyle w:val="35"/>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Borders>
              <w:top w:val="nil"/>
              <w:left w:val="nil"/>
              <w:bottom w:val="nil"/>
              <w:right w:val="nil"/>
            </w:tcBorders>
          </w:tcPr>
          <w:p>
            <w:pPr>
              <w:pStyle w:val="115"/>
              <w:framePr/>
            </w:pPr>
            <w:r>
              <w:pict>
                <v:rect id="BAH" o:spid="_x0000_s1026" o:spt="1" style="position:absolute;left:0pt;margin-left:-5.25pt;margin-top:0pt;height:15.6pt;width:68.25pt;z-index:-251655168;mso-width-relative:page;mso-height-relative:page;"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MiuL+zVAAAABwEAAA8AAAAAAAAAAQAgAAAA&#10;IgAAAGRycy9kb3ducmV2LnhtbFBLAQIUABQAAAAIAIdO4kDx2TaZnAEAACIDAAAOAAAAAAAAAAEA&#10;IAAAACQBAABkcnMvZTJvRG9jLnhtbFBLBQYAAAAABgAGAFkBAAAyBQAAAAA=&#10;">
                  <v:path/>
                  <v:fill focussize="0,0"/>
                  <v:stroke on="f"/>
                  <v:imagedata o:title=""/>
                  <o:lock v:ext="edit"/>
                </v:rect>
              </w:pic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116"/>
        <w:framePr/>
      </w:pPr>
      <w:r>
        <w:t>DB</w:t>
      </w:r>
      <w:bookmarkStart w:id="3" w:name="c3"/>
      <w:r>
        <w:fldChar w:fldCharType="begin">
          <w:ffData>
            <w:name w:val="c3"/>
            <w:enabled/>
            <w:calcOnExit w:val="0"/>
            <w:textInput>
              <w:maxLength w:val="2"/>
            </w:textInput>
          </w:ffData>
        </w:fldChar>
      </w:r>
      <w:r>
        <w:instrText xml:space="preserve"> FORMTEXT </w:instrText>
      </w:r>
      <w:r>
        <w:fldChar w:fldCharType="separate"/>
      </w:r>
      <w:r>
        <w:rPr>
          <w:rFonts w:hint="eastAsia"/>
        </w:rPr>
        <w:t>33</w:t>
      </w:r>
      <w:r>
        <w:fldChar w:fldCharType="end"/>
      </w:r>
      <w:bookmarkEnd w:id="3"/>
      <w:r>
        <w:rPr>
          <w:rFonts w:hint="eastAsia"/>
        </w:rPr>
        <w:t>02</w:t>
      </w:r>
    </w:p>
    <w:p>
      <w:pPr>
        <w:pStyle w:val="104"/>
        <w:framePr/>
      </w:pPr>
      <w:bookmarkStart w:id="4" w:name="c4"/>
      <w:r>
        <w:fldChar w:fldCharType="begin">
          <w:ffData>
            <w:name w:val="c4"/>
            <w:enabled/>
            <w:calcOnExit w:val="0"/>
            <w:textInput/>
          </w:ffData>
        </w:fldChar>
      </w:r>
      <w:r>
        <w:instrText xml:space="preserve"> FORMTEXT </w:instrText>
      </w:r>
      <w:r>
        <w:fldChar w:fldCharType="separate"/>
      </w:r>
      <w:r>
        <w:rPr>
          <w:rFonts w:hint="eastAsia"/>
        </w:rPr>
        <w:t>宁波市</w:t>
      </w:r>
      <w:r>
        <w:fldChar w:fldCharType="end"/>
      </w:r>
      <w:bookmarkEnd w:id="4"/>
      <w:r>
        <w:rPr>
          <w:rFonts w:hint="eastAsia"/>
        </w:rPr>
        <w:t>地方标准</w:t>
      </w:r>
    </w:p>
    <w:p>
      <w:pPr>
        <w:pStyle w:val="66"/>
        <w:framePr/>
      </w:pPr>
      <w:r>
        <w:rPr>
          <w:rFonts w:ascii="Times New Roman"/>
        </w:rPr>
        <w:t xml:space="preserve">DB </w:t>
      </w:r>
      <w:bookmarkStart w:id="5" w:name="StdNo0"/>
      <w:r>
        <w:fldChar w:fldCharType="begin">
          <w:ffData>
            <w:name w:val="StdNo0"/>
            <w:enabled/>
            <w:calcOnExit w:val="0"/>
            <w:textInput>
              <w:default w:val="XX"/>
              <w:maxLength w:val="2"/>
            </w:textInput>
          </w:ffData>
        </w:fldChar>
      </w:r>
      <w:r>
        <w:instrText xml:space="preserve"> FORMTEXT </w:instrText>
      </w:r>
      <w:r>
        <w:fldChar w:fldCharType="separate"/>
      </w:r>
      <w:r>
        <w:t>XX</w:t>
      </w:r>
      <w:r>
        <w:fldChar w:fldCharType="end"/>
      </w:r>
      <w:bookmarkEnd w:id="5"/>
      <w:r>
        <w:t xml:space="preserve">/ </w:t>
      </w:r>
      <w:bookmarkStart w:id="6" w:name="StdNo1"/>
      <w:r>
        <w:fldChar w:fldCharType="begin">
          <w:ffData>
            <w:name w:val="StdNo1"/>
            <w:enabled/>
            <w:calcOnExit w:val="0"/>
            <w:textInput>
              <w:default w:val="XXXXX"/>
            </w:textInput>
          </w:ffData>
        </w:fldChar>
      </w:r>
      <w:r>
        <w:instrText xml:space="preserve"> FORMTEXT </w:instrText>
      </w:r>
      <w:r>
        <w:fldChar w:fldCharType="separate"/>
      </w:r>
      <w:r>
        <w:t>XXXXX</w:t>
      </w:r>
      <w:r>
        <w:fldChar w:fldCharType="end"/>
      </w:r>
      <w:bookmarkEnd w:id="6"/>
      <w:r>
        <w:t>—</w:t>
      </w:r>
      <w:bookmarkStart w:id="7" w:name="StdNo2"/>
      <w:r>
        <w:fldChar w:fldCharType="begin">
          <w:ffData>
            <w:name w:val="StdNo2"/>
            <w:enabled/>
            <w:calcOnExit w:val="0"/>
            <w:textInput>
              <w:default w:val="XXXX"/>
              <w:maxLength w:val="4"/>
            </w:textInput>
          </w:ffData>
        </w:fldChar>
      </w:r>
      <w:r>
        <w:instrText xml:space="preserve"> FORMTEXT </w:instrText>
      </w:r>
      <w:r>
        <w:fldChar w:fldCharType="separate"/>
      </w:r>
      <w:r>
        <w:t>XXXX</w:t>
      </w:r>
      <w:r>
        <w:fldChar w:fldCharType="end"/>
      </w:r>
      <w:bookmarkEnd w:id="7"/>
    </w:p>
    <w:tbl>
      <w:tblPr>
        <w:tblStyle w:val="35"/>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tcPr>
          <w:p>
            <w:pPr>
              <w:pStyle w:val="91"/>
              <w:framePr/>
            </w:pPr>
            <w:bookmarkStart w:id="8" w:name="DT"/>
            <w:r>
              <w:pict>
                <v:rect id="DT" o:spid="_x0000_s1031" o:spt="1" style="position:absolute;left:0pt;margin-left:372.8pt;margin-top:2.7pt;height:18pt;width:90pt;z-index:-251658240;mso-width-relative:page;mso-height-relative:page;"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eYPLL1gAAAAgBAAAPAAAAAAAAAAEAIAAAACIAAABk&#10;cnMvZG93bnJldi54bWxQSwECFAAUAAAACACHTuJAJrJ7rJYBAAAiAwAADgAAAAAAAAABACAAAAAl&#10;AQAAZHJzL2Uyb0RvYy54bWxQSwUGAAAAAAYABgBZAQAALQUAAAAA&#10;">
                  <v:path/>
                  <v:fill focussize="0,0"/>
                  <v:stroke on="f"/>
                  <v:imagedata o:title=""/>
                  <o:lock v:ext="edit"/>
                </v:rect>
              </w:pict>
            </w:r>
            <w:r>
              <w:fldChar w:fldCharType="begin">
                <w:ffData>
                  <w:name w:val="DT"/>
                  <w:enabled/>
                  <w:calcOnExit w:val="0"/>
                  <w:textInput/>
                </w:ffData>
              </w:fldChar>
            </w:r>
            <w:r>
              <w:instrText xml:space="preserve"> FORMTEXT </w:instrText>
            </w:r>
            <w:r>
              <w:fldChar w:fldCharType="separate"/>
            </w:r>
            <w:r>
              <w:t>     </w:t>
            </w:r>
            <w:r>
              <w:fldChar w:fldCharType="end"/>
            </w:r>
            <w:bookmarkEnd w:id="8"/>
          </w:p>
        </w:tc>
      </w:tr>
    </w:tbl>
    <w:p>
      <w:pPr>
        <w:pStyle w:val="66"/>
        <w:framePr/>
      </w:pPr>
    </w:p>
    <w:p>
      <w:pPr>
        <w:pStyle w:val="66"/>
        <w:framePr/>
      </w:pPr>
    </w:p>
    <w:p>
      <w:pPr>
        <w:pStyle w:val="52"/>
        <w:framePr/>
      </w:pPr>
      <w:bookmarkStart w:id="9" w:name="StdName"/>
      <w:bookmarkStart w:id="20" w:name="_GoBack"/>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超级稻甬优12栽培技术规程</w:t>
      </w:r>
      <w:r>
        <w:fldChar w:fldCharType="end"/>
      </w:r>
      <w:bookmarkEnd w:id="9"/>
      <w:bookmarkEnd w:id="20"/>
    </w:p>
    <w:tbl>
      <w:tblPr>
        <w:tblStyle w:val="35"/>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Borders>
              <w:top w:val="nil"/>
              <w:left w:val="nil"/>
              <w:bottom w:val="nil"/>
              <w:right w:val="nil"/>
            </w:tcBorders>
          </w:tcPr>
          <w:p>
            <w:pPr>
              <w:pStyle w:val="90"/>
              <w:framePr/>
            </w:pPr>
            <w:bookmarkStart w:id="10" w:name="WCRQ"/>
            <w:r>
              <w:fldChar w:fldCharType="begin">
                <w:ffData>
                  <w:name w:val="WCRQ"/>
                  <w:enabled/>
                  <w:calcOnExit w:val="0"/>
                  <w:textInput/>
                </w:ffData>
              </w:fldChar>
            </w:r>
            <w:r>
              <w:instrText xml:space="preserve"> FORMTEXT </w:instrText>
            </w:r>
            <w:r>
              <w:fldChar w:fldCharType="separate"/>
            </w:r>
            <w:r>
              <w:t>     </w:t>
            </w:r>
            <w:r>
              <w:fldChar w:fldCharType="end"/>
            </w:r>
            <w:bookmarkEnd w:id="10"/>
          </w:p>
        </w:tc>
      </w:tr>
    </w:tbl>
    <w:p>
      <w:pPr>
        <w:pStyle w:val="46"/>
        <w:framePr w:hAnchor="page" w:x="1321" w:y="14086"/>
      </w:pPr>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rPr>
          <w:rFonts w:ascii="黑体"/>
        </w:rPr>
        <w:t>-</w:t>
      </w:r>
      <w:r>
        <w:t xml:space="preserve"> </w:t>
      </w:r>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11"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rPr>
          <w:rFonts w:hint="eastAsia"/>
        </w:rPr>
        <w:t>发布</w:t>
      </w:r>
      <w:r>
        <w:pict>
          <v:line id="直线 10" o:spid="_x0000_s1028" o:spt="20" style="position:absolute;left:0pt;margin-left:-0.35pt;margin-top:728.5pt;height:0pt;width:503.6pt;mso-position-vertical-relative:page;z-index:251662336;mso-width-relative:page;mso-height-relative:page;"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lh2s81gAAAAsBAAAPAAAAAAAAAAEAIAAAACIAAABkcnMv&#10;ZG93bnJldi54bWxQSwECFAAUAAAACACHTuJA4WqPt8wBAACOAwAADgAAAAAAAAABACAAAAAlAQAA&#10;ZHJzL2Uyb0RvYy54bWxQSwUGAAAAAAYABgBZAQAAYwUAAAAA&#10;">
            <v:path arrowok="t"/>
            <v:fill focussize="0,0"/>
            <v:stroke/>
            <v:imagedata o:title=""/>
            <o:lock v:ext="edit"/>
            <w10:anchorlock/>
          </v:line>
        </w:pict>
      </w:r>
    </w:p>
    <w:p>
      <w:pPr>
        <w:pStyle w:val="126"/>
        <w:framePr w:hAnchor="page" w:x="7441" w:y="14086"/>
      </w:pPr>
      <w:bookmarkStart w:id="12" w:name="SY"/>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bookmarkStart w:id="13"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bookmarkStart w:id="14"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实施</w:t>
      </w:r>
    </w:p>
    <w:p>
      <w:pPr>
        <w:pStyle w:val="119"/>
        <w:framePr/>
      </w:pPr>
      <w:bookmarkStart w:id="15" w:name="fm"/>
      <w:r>
        <w:fldChar w:fldCharType="begin">
          <w:ffData>
            <w:name w:val="fm"/>
            <w:enabled/>
            <w:calcOnExit w:val="0"/>
            <w:textInput/>
          </w:ffData>
        </w:fldChar>
      </w:r>
      <w:r>
        <w:instrText xml:space="preserve"> FORMTEXT </w:instrText>
      </w:r>
      <w:r>
        <w:fldChar w:fldCharType="separate"/>
      </w:r>
      <w:r>
        <w:rPr>
          <w:rFonts w:hint="eastAsia"/>
        </w:rPr>
        <w:t>宁波市质量技术监督局鄞州分局</w:t>
      </w:r>
      <w:r>
        <w:fldChar w:fldCharType="end"/>
      </w:r>
      <w:bookmarkEnd w:id="15"/>
      <w:r>
        <w:rPr>
          <w:rFonts w:ascii="Cambria Math" w:hAnsi="Cambria Math" w:cs="Cambria Math"/>
        </w:rPr>
        <w:t>   </w:t>
      </w:r>
      <w:r>
        <w:rPr>
          <w:rStyle w:val="132"/>
          <w:rFonts w:hint="eastAsia"/>
        </w:rPr>
        <w:t>发布</w:t>
      </w:r>
    </w:p>
    <w:p>
      <w:pPr>
        <w:pStyle w:val="20"/>
        <w:sectPr>
          <w:pgSz w:w="11906" w:h="16838"/>
          <w:pgMar w:top="567" w:right="850" w:bottom="1134" w:left="1418" w:header="0" w:footer="0" w:gutter="0"/>
          <w:pgNumType w:start="1"/>
          <w:cols w:space="720" w:num="1"/>
          <w:docGrid w:type="lines" w:linePitch="312" w:charSpace="0"/>
        </w:sectPr>
      </w:pPr>
      <w:r>
        <w:pict>
          <v:line id="直线 11" o:spid="_x0000_s1027" o:spt="20" style="position:absolute;left:0pt;margin-left:-0.05pt;margin-top:184.25pt;height:0pt;width:481.9pt;z-index:251663360;mso-width-relative:page;mso-height-relative:page;"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JB4l/XAAAACQEAAA8AAAAAAAAAAQAgAAAAIgAAAGRy&#10;cy9kb3ducmV2LnhtbFBLAQIUABQAAAAIAIdO4kDX0OsjzQEAAI4DAAAOAAAAAAAAAAEAIAAAACYB&#10;AABkcnMvZTJvRG9jLnhtbFBLBQYAAAAABgAGAFkBAABlBQAAAAA=&#10;">
            <v:path arrowok="t"/>
            <v:fill focussize="0,0"/>
            <v:stroke/>
            <v:imagedata o:title=""/>
            <o:lock v:ext="edit"/>
          </v:line>
        </w:pict>
      </w:r>
    </w:p>
    <w:p>
      <w:pPr>
        <w:pStyle w:val="113"/>
      </w:pPr>
      <w:r>
        <w:rPr>
          <w:rFonts w:hint="eastAsia"/>
        </w:rPr>
        <w:t>前</w:t>
      </w:r>
      <w:bookmarkStart w:id="16" w:name="BKQY"/>
      <w:r>
        <w:rPr>
          <w:rFonts w:ascii="Cambria Math" w:hAnsi="Cambria Math" w:cs="Cambria Math"/>
        </w:rPr>
        <w:t>  </w:t>
      </w:r>
      <w:r>
        <w:rPr>
          <w:rFonts w:hint="eastAsia"/>
        </w:rPr>
        <w:t>言</w:t>
      </w:r>
      <w:bookmarkEnd w:id="16"/>
    </w:p>
    <w:p>
      <w:pPr>
        <w:snapToGrid w:val="0"/>
        <w:spacing w:line="480" w:lineRule="exact"/>
        <w:rPr>
          <w:rFonts w:hint="eastAsia"/>
          <w:kern w:val="0"/>
        </w:rPr>
      </w:pPr>
      <w:r>
        <w:rPr>
          <w:kern w:val="0"/>
        </w:rPr>
        <w:t>本</w:t>
      </w:r>
      <w:r>
        <w:rPr>
          <w:rFonts w:hint="eastAsia"/>
          <w:kern w:val="0"/>
        </w:rPr>
        <w:t>标准</w:t>
      </w:r>
      <w:r>
        <w:rPr>
          <w:kern w:val="0"/>
        </w:rPr>
        <w:t>按照GB/T 1.1-2009给出的规则起草。</w:t>
      </w:r>
    </w:p>
    <w:p>
      <w:pPr>
        <w:snapToGrid w:val="0"/>
        <w:spacing w:line="480" w:lineRule="exact"/>
        <w:rPr>
          <w:kern w:val="0"/>
        </w:rPr>
      </w:pPr>
      <w:r>
        <w:rPr>
          <w:rFonts w:hint="eastAsia"/>
          <w:kern w:val="0"/>
        </w:rPr>
        <w:t>本标准替代DB3302/T 144—2014，与DB3302/T 144—2014相比主要修订包括部分规范性引用文件、机插商品基质应用、手插密植规格和本数、配方肥施用、病虫害防治方法和药剂等。</w:t>
      </w:r>
      <w:r>
        <w:rPr>
          <w:kern w:val="0"/>
        </w:rPr>
        <w:t xml:space="preserve"> </w:t>
      </w:r>
      <w:r>
        <w:rPr>
          <w:kern w:val="0"/>
        </w:rPr>
        <w:br w:type="textWrapping"/>
      </w:r>
      <w:r>
        <w:rPr>
          <w:kern w:val="0"/>
        </w:rPr>
        <w:t>本</w:t>
      </w:r>
      <w:r>
        <w:rPr>
          <w:rFonts w:hint="eastAsia"/>
          <w:kern w:val="0"/>
        </w:rPr>
        <w:t>标准</w:t>
      </w:r>
      <w:r>
        <w:rPr>
          <w:kern w:val="0"/>
        </w:rPr>
        <w:t>由</w:t>
      </w:r>
      <w:r>
        <w:rPr>
          <w:rFonts w:hint="eastAsia"/>
          <w:kern w:val="0"/>
        </w:rPr>
        <w:t>宁波市农业局</w:t>
      </w:r>
      <w:r>
        <w:rPr>
          <w:kern w:val="0"/>
        </w:rPr>
        <w:t>提出。</w:t>
      </w:r>
      <w:r>
        <w:rPr>
          <w:kern w:val="0"/>
        </w:rPr>
        <w:br w:type="textWrapping"/>
      </w:r>
      <w:r>
        <w:rPr>
          <w:kern w:val="0"/>
        </w:rPr>
        <w:t>本</w:t>
      </w:r>
      <w:r>
        <w:rPr>
          <w:rFonts w:hint="eastAsia"/>
          <w:kern w:val="0"/>
        </w:rPr>
        <w:t>标准</w:t>
      </w:r>
      <w:r>
        <w:rPr>
          <w:kern w:val="0"/>
        </w:rPr>
        <w:t>由宁波市农业标准化技术委员会归口。</w:t>
      </w:r>
    </w:p>
    <w:p>
      <w:pPr>
        <w:snapToGrid w:val="0"/>
        <w:spacing w:line="480" w:lineRule="exact"/>
        <w:rPr>
          <w:rFonts w:ascii="宋体"/>
          <w:kern w:val="0"/>
          <w:szCs w:val="20"/>
        </w:rPr>
      </w:pPr>
      <w:r>
        <w:rPr>
          <w:kern w:val="0"/>
        </w:rPr>
        <w:t>本</w:t>
      </w:r>
      <w:r>
        <w:rPr>
          <w:rFonts w:hint="eastAsia"/>
          <w:kern w:val="0"/>
        </w:rPr>
        <w:t>标准起草单位：</w:t>
      </w:r>
      <w:r>
        <w:rPr>
          <w:kern w:val="0"/>
        </w:rPr>
        <w:t>宁波市</w:t>
      </w:r>
      <w:r>
        <w:rPr>
          <w:rFonts w:hint="eastAsia"/>
          <w:kern w:val="0"/>
        </w:rPr>
        <w:t>鄞州区</w:t>
      </w:r>
      <w:r>
        <w:rPr>
          <w:kern w:val="0"/>
        </w:rPr>
        <w:t>农业技术</w:t>
      </w:r>
      <w:r>
        <w:rPr>
          <w:rFonts w:hint="eastAsia"/>
          <w:kern w:val="0"/>
        </w:rPr>
        <w:t>服务</w:t>
      </w:r>
      <w:r>
        <w:rPr>
          <w:kern w:val="0"/>
        </w:rPr>
        <w:t>站</w:t>
      </w:r>
      <w:r>
        <w:rPr>
          <w:rFonts w:hint="eastAsia"/>
          <w:kern w:val="0"/>
        </w:rPr>
        <w:t>、</w:t>
      </w:r>
      <w:r>
        <w:rPr>
          <w:rFonts w:hint="eastAsia" w:ascii="宋体" w:hAnsi="宋体"/>
          <w:szCs w:val="21"/>
        </w:rPr>
        <w:t>宁波市种植业管理总站、宁波市种子有限公司、奉化区农业技术服务总站。</w:t>
      </w:r>
    </w:p>
    <w:p>
      <w:pPr>
        <w:snapToGrid w:val="0"/>
        <w:spacing w:line="480" w:lineRule="exact"/>
        <w:rPr>
          <w:kern w:val="0"/>
        </w:rPr>
      </w:pPr>
      <w:r>
        <w:rPr>
          <w:kern w:val="0"/>
        </w:rPr>
        <w:t>本</w:t>
      </w:r>
      <w:r>
        <w:rPr>
          <w:rFonts w:hint="eastAsia"/>
          <w:kern w:val="0"/>
        </w:rPr>
        <w:t>标准</w:t>
      </w:r>
      <w:r>
        <w:rPr>
          <w:kern w:val="0"/>
        </w:rPr>
        <w:t>主要</w:t>
      </w:r>
      <w:r>
        <w:rPr>
          <w:rFonts w:hint="eastAsia"/>
          <w:kern w:val="0"/>
        </w:rPr>
        <w:t>起草</w:t>
      </w:r>
      <w:r>
        <w:rPr>
          <w:kern w:val="0"/>
        </w:rPr>
        <w:t>人：</w:t>
      </w:r>
      <w:r>
        <w:rPr>
          <w:rFonts w:hint="eastAsia"/>
          <w:kern w:val="0"/>
        </w:rPr>
        <w:t>张建民、陈少杰、孙健、张仁杰、蔡克峰、蒋琪、张彭达、赵丽稳、张晓萌。</w:t>
      </w:r>
    </w:p>
    <w:p>
      <w:pPr>
        <w:pStyle w:val="20"/>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p>
    <w:p>
      <w:pPr>
        <w:pStyle w:val="60"/>
      </w:pPr>
      <w:r>
        <w:rPr>
          <w:rFonts w:hint="eastAsia"/>
        </w:rPr>
        <w:t>超</w:t>
      </w:r>
      <w:bookmarkStart w:id="17" w:name="StandardName"/>
      <w:r>
        <w:rPr>
          <w:rFonts w:hint="eastAsia"/>
        </w:rPr>
        <w:t>级稻甬优12栽培技术规程</w:t>
      </w:r>
      <w:bookmarkEnd w:id="17"/>
    </w:p>
    <w:p>
      <w:pPr>
        <w:pStyle w:val="58"/>
        <w:spacing w:before="312" w:after="312"/>
      </w:pPr>
      <w:bookmarkStart w:id="18" w:name="_Toc372121356"/>
      <w:r>
        <w:rPr>
          <w:rFonts w:hint="eastAsia"/>
        </w:rPr>
        <w:t>范围</w:t>
      </w:r>
      <w:bookmarkEnd w:id="18"/>
    </w:p>
    <w:p>
      <w:pPr>
        <w:pStyle w:val="41"/>
        <w:numPr>
          <w:ilvl w:val="0"/>
          <w:numId w:val="0"/>
        </w:numPr>
        <w:spacing w:before="156" w:after="156"/>
        <w:ind w:firstLine="525" w:firstLineChars="250"/>
        <w:jc w:val="both"/>
        <w:rPr>
          <w:rFonts w:ascii="宋体" w:hAnsi="宋体" w:eastAsia="宋体"/>
        </w:rPr>
      </w:pPr>
      <w:r>
        <w:rPr>
          <w:rFonts w:hint="eastAsia" w:ascii="宋体" w:hAnsi="宋体" w:eastAsia="宋体"/>
        </w:rPr>
        <w:t>本标准规定了甬优12单季水稻栽培的产地环境、育秧、移栽、大田管理、收割、生产档案等要求。</w:t>
      </w:r>
    </w:p>
    <w:p>
      <w:pPr>
        <w:pStyle w:val="41"/>
        <w:numPr>
          <w:ilvl w:val="0"/>
          <w:numId w:val="0"/>
        </w:numPr>
        <w:spacing w:before="156" w:after="156"/>
        <w:ind w:firstLine="525" w:firstLineChars="250"/>
        <w:jc w:val="both"/>
        <w:rPr>
          <w:rFonts w:ascii="宋体" w:hAnsi="宋体" w:eastAsia="宋体"/>
        </w:rPr>
      </w:pPr>
      <w:r>
        <w:rPr>
          <w:rFonts w:hint="eastAsia" w:ascii="宋体" w:hAnsi="宋体" w:eastAsia="宋体"/>
        </w:rPr>
        <w:t>本标准适用于宁波市甬优12单季无公害水稻栽培。</w:t>
      </w:r>
    </w:p>
    <w:p>
      <w:pPr>
        <w:pStyle w:val="58"/>
        <w:spacing w:before="312" w:after="312"/>
        <w:ind w:left="210"/>
      </w:pPr>
      <w:bookmarkStart w:id="19" w:name="_Toc372121357"/>
      <w:r>
        <w:rPr>
          <w:rFonts w:hint="eastAsia"/>
        </w:rPr>
        <w:t>规范性引用文件</w:t>
      </w:r>
      <w:bookmarkEnd w:id="19"/>
    </w:p>
    <w:p>
      <w:pPr>
        <w:pStyle w:val="41"/>
        <w:numPr>
          <w:ilvl w:val="0"/>
          <w:numId w:val="0"/>
        </w:numPr>
        <w:spacing w:before="156" w:after="156"/>
        <w:ind w:firstLine="525" w:firstLineChars="250"/>
        <w:jc w:val="both"/>
        <w:rPr>
          <w:rFonts w:ascii="宋体" w:hAnsi="宋体" w:eastAsia="宋体"/>
        </w:rPr>
      </w:pPr>
      <w:r>
        <w:rPr>
          <w:rFonts w:hint="eastAsia" w:ascii="宋体" w:hAnsi="宋体" w:eastAsia="宋体"/>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明日期的引用文件，其最新版本适用于本标准。</w:t>
      </w:r>
    </w:p>
    <w:p>
      <w:pPr>
        <w:spacing w:line="360" w:lineRule="auto"/>
        <w:ind w:firstLine="600"/>
        <w:rPr>
          <w:rFonts w:ascii="宋体" w:hAnsi="宋体"/>
          <w:szCs w:val="21"/>
        </w:rPr>
      </w:pPr>
      <w:r>
        <w:rPr>
          <w:rFonts w:hint="eastAsia" w:ascii="宋体" w:hAnsi="宋体"/>
          <w:szCs w:val="21"/>
        </w:rPr>
        <w:t>GB 4404.1-2008       粮食作物种子 第1部分： 禾谷类</w:t>
      </w:r>
    </w:p>
    <w:p>
      <w:pPr>
        <w:spacing w:line="360" w:lineRule="auto"/>
        <w:ind w:firstLine="600"/>
        <w:rPr>
          <w:rFonts w:ascii="宋体" w:hAnsi="宋体"/>
          <w:szCs w:val="21"/>
        </w:rPr>
      </w:pPr>
      <w:r>
        <w:rPr>
          <w:rFonts w:ascii="宋体" w:hAnsi="宋体"/>
          <w:szCs w:val="21"/>
        </w:rPr>
        <w:t xml:space="preserve">GB/T 8321 </w:t>
      </w:r>
      <w:r>
        <w:rPr>
          <w:rFonts w:hint="eastAsia" w:ascii="宋体" w:hAnsi="宋体"/>
          <w:szCs w:val="21"/>
        </w:rPr>
        <w:t xml:space="preserve">           农药合理使用准则（所有部分）</w:t>
      </w:r>
    </w:p>
    <w:p>
      <w:pPr>
        <w:spacing w:line="360" w:lineRule="auto"/>
        <w:ind w:firstLine="600"/>
        <w:rPr>
          <w:rFonts w:ascii="宋体" w:hAnsi="宋体"/>
          <w:szCs w:val="21"/>
        </w:rPr>
      </w:pPr>
      <w:r>
        <w:rPr>
          <w:rFonts w:ascii="宋体" w:hAnsi="宋体"/>
          <w:szCs w:val="21"/>
        </w:rPr>
        <w:t>NY/T 496</w:t>
      </w:r>
      <w:r>
        <w:rPr>
          <w:rFonts w:hint="eastAsia" w:ascii="宋体" w:hAnsi="宋体"/>
          <w:szCs w:val="21"/>
        </w:rPr>
        <w:t xml:space="preserve">-2010 </w:t>
      </w:r>
      <w:r>
        <w:rPr>
          <w:rFonts w:ascii="宋体" w:hAnsi="宋体"/>
          <w:szCs w:val="21"/>
        </w:rPr>
        <w:t xml:space="preserve">  </w:t>
      </w:r>
      <w:r>
        <w:rPr>
          <w:rFonts w:hint="eastAsia" w:ascii="宋体" w:hAnsi="宋体"/>
          <w:szCs w:val="21"/>
        </w:rPr>
        <w:t xml:space="preserve">     肥料合理使用准则</w:t>
      </w:r>
      <w:r>
        <w:rPr>
          <w:rFonts w:ascii="宋体" w:hAnsi="宋体"/>
          <w:szCs w:val="21"/>
        </w:rPr>
        <w:t xml:space="preserve">  </w:t>
      </w:r>
      <w:r>
        <w:rPr>
          <w:rFonts w:hint="eastAsia" w:ascii="宋体" w:hAnsi="宋体"/>
          <w:szCs w:val="21"/>
        </w:rPr>
        <w:t>通则</w:t>
      </w:r>
    </w:p>
    <w:p>
      <w:pPr>
        <w:spacing w:line="360" w:lineRule="auto"/>
        <w:ind w:firstLine="600"/>
        <w:rPr>
          <w:rFonts w:ascii="宋体" w:hAnsi="宋体"/>
          <w:szCs w:val="21"/>
        </w:rPr>
      </w:pPr>
      <w:r>
        <w:fldChar w:fldCharType="begin"/>
      </w:r>
      <w:r>
        <w:instrText xml:space="preserve"> HYPERLINK "http://www.jxisi.com.cn/Standard/Search/StdInfo.aspx?ca=PfiQNa4u/cM=" \t "_blank" </w:instrText>
      </w:r>
      <w:r>
        <w:fldChar w:fldCharType="separate"/>
      </w:r>
      <w:r>
        <w:rPr>
          <w:rStyle w:val="29"/>
          <w:rFonts w:ascii="宋体" w:hAnsi="宋体"/>
          <w:b w:val="0"/>
          <w:bCs w:val="0"/>
          <w:szCs w:val="21"/>
        </w:rPr>
        <w:t>NY/T 1276-2007</w:t>
      </w:r>
      <w:r>
        <w:rPr>
          <w:rStyle w:val="29"/>
          <w:rFonts w:ascii="宋体" w:hAnsi="宋体"/>
          <w:b w:val="0"/>
          <w:bCs w:val="0"/>
          <w:szCs w:val="21"/>
        </w:rPr>
        <w:fldChar w:fldCharType="end"/>
      </w:r>
      <w:r>
        <w:rPr>
          <w:rFonts w:hint="eastAsia"/>
          <w:szCs w:val="21"/>
        </w:rPr>
        <w:t xml:space="preserve">  </w:t>
      </w:r>
      <w:r>
        <w:rPr>
          <w:rFonts w:hint="eastAsia" w:ascii="宋体" w:hAnsi="宋体"/>
          <w:szCs w:val="21"/>
        </w:rPr>
        <w:t xml:space="preserve">     </w:t>
      </w:r>
      <w:r>
        <w:rPr>
          <w:rFonts w:ascii="宋体" w:hAnsi="宋体"/>
          <w:szCs w:val="21"/>
        </w:rPr>
        <w:t>农药安全使用规范总则</w:t>
      </w:r>
    </w:p>
    <w:p>
      <w:pPr>
        <w:spacing w:line="360" w:lineRule="auto"/>
        <w:ind w:firstLine="630" w:firstLineChars="300"/>
        <w:rPr>
          <w:rFonts w:ascii="宋体" w:hAnsi="宋体"/>
          <w:szCs w:val="21"/>
        </w:rPr>
      </w:pPr>
      <w:r>
        <w:fldChar w:fldCharType="begin"/>
      </w:r>
      <w:r>
        <w:instrText xml:space="preserve"> HYPERLINK "http://www.jxisi.com.cn/Standard/Search/StdInfo.aspx?ca=7nn2htfttVA=" \t "_blank" </w:instrText>
      </w:r>
      <w:r>
        <w:fldChar w:fldCharType="separate"/>
      </w:r>
      <w:r>
        <w:rPr>
          <w:rStyle w:val="29"/>
          <w:rFonts w:ascii="宋体" w:hAnsi="宋体"/>
          <w:b w:val="0"/>
          <w:bCs w:val="0"/>
          <w:szCs w:val="21"/>
        </w:rPr>
        <w:t>NY/T 5010-2016</w:t>
      </w:r>
      <w:r>
        <w:rPr>
          <w:rStyle w:val="29"/>
          <w:rFonts w:ascii="宋体" w:hAnsi="宋体"/>
          <w:b w:val="0"/>
          <w:bCs w:val="0"/>
          <w:szCs w:val="21"/>
        </w:rPr>
        <w:fldChar w:fldCharType="end"/>
      </w:r>
      <w:r>
        <w:rPr>
          <w:rFonts w:hint="eastAsia"/>
          <w:szCs w:val="21"/>
        </w:rPr>
        <w:t xml:space="preserve">       </w:t>
      </w:r>
      <w:r>
        <w:rPr>
          <w:rFonts w:ascii="宋体" w:hAnsi="宋体"/>
          <w:szCs w:val="21"/>
        </w:rPr>
        <w:t>无公害农产品 种植业产地环境条件</w:t>
      </w:r>
    </w:p>
    <w:p>
      <w:pPr>
        <w:pStyle w:val="58"/>
        <w:spacing w:before="312" w:after="312"/>
        <w:rPr>
          <w:rFonts w:hAnsi="宋体"/>
          <w:b/>
          <w:color w:val="FF0000"/>
          <w:kern w:val="21"/>
          <w:szCs w:val="21"/>
        </w:rPr>
      </w:pPr>
      <w:r>
        <w:rPr>
          <w:rFonts w:hint="eastAsia" w:hAnsi="宋体"/>
          <w:color w:val="000000" w:themeColor="text1"/>
          <w:kern w:val="21"/>
          <w:szCs w:val="21"/>
        </w:rPr>
        <w:t>产地环境</w:t>
      </w:r>
    </w:p>
    <w:p>
      <w:pPr>
        <w:pStyle w:val="58"/>
        <w:numPr>
          <w:ilvl w:val="0"/>
          <w:numId w:val="0"/>
        </w:numPr>
        <w:spacing w:before="312" w:after="312"/>
        <w:ind w:left="210"/>
        <w:rPr>
          <w:rFonts w:ascii="宋体" w:hAnsi="宋体" w:eastAsia="宋体"/>
        </w:rPr>
      </w:pPr>
      <w:r>
        <w:rPr>
          <w:rFonts w:hint="eastAsia" w:ascii="宋体" w:hAnsi="宋体" w:eastAsia="宋体"/>
        </w:rPr>
        <w:t>水稻栽培的产地环境条件应符合NY/T 5010-2016的要求。</w:t>
      </w:r>
    </w:p>
    <w:p>
      <w:pPr>
        <w:pStyle w:val="58"/>
        <w:spacing w:before="312" w:after="312"/>
        <w:rPr>
          <w:rFonts w:hAnsi="宋体"/>
          <w:b/>
          <w:color w:val="FF0000"/>
          <w:kern w:val="21"/>
          <w:szCs w:val="21"/>
        </w:rPr>
      </w:pPr>
      <w:r>
        <w:rPr>
          <w:rFonts w:hint="eastAsia"/>
        </w:rPr>
        <w:t>移栽方式</w:t>
      </w:r>
    </w:p>
    <w:p>
      <w:pPr>
        <w:pStyle w:val="20"/>
      </w:pPr>
      <w:r>
        <w:rPr>
          <w:rFonts w:hint="eastAsia"/>
        </w:rPr>
        <w:t>机械插秧、人工插秧</w:t>
      </w:r>
    </w:p>
    <w:p>
      <w:pPr>
        <w:pStyle w:val="58"/>
        <w:spacing w:before="312" w:after="312"/>
      </w:pPr>
      <w:r>
        <w:rPr>
          <w:rFonts w:hint="eastAsia"/>
        </w:rPr>
        <w:t>育秧准备</w:t>
      </w:r>
    </w:p>
    <w:p>
      <w:pPr>
        <w:pStyle w:val="42"/>
        <w:spacing w:before="156" w:after="156"/>
      </w:pPr>
      <w:r>
        <w:rPr>
          <w:rFonts w:hint="eastAsia"/>
        </w:rPr>
        <w:t>秧田准备</w:t>
      </w:r>
    </w:p>
    <w:p>
      <w:pPr>
        <w:pStyle w:val="41"/>
        <w:spacing w:before="156" w:after="156"/>
      </w:pPr>
      <w:r>
        <w:rPr>
          <w:rFonts w:hint="eastAsia" w:ascii="宋体" w:hAnsi="宋体" w:eastAsia="宋体"/>
        </w:rPr>
        <w:t>秧田</w:t>
      </w:r>
      <w:r>
        <w:rPr>
          <w:rFonts w:hint="eastAsia" w:ascii="宋体" w:hAnsi="宋体" w:eastAsia="宋体" w:cs="宋体"/>
        </w:rPr>
        <w:t>宜</w:t>
      </w:r>
      <w:r>
        <w:rPr>
          <w:rFonts w:hint="eastAsia" w:ascii="宋体" w:hAnsi="宋体" w:eastAsia="宋体"/>
        </w:rPr>
        <w:t>选择交通方便、肥力中等、排灌便利、背风向阳、田面平整、远离麦田的田块作秧田。</w:t>
      </w:r>
    </w:p>
    <w:p>
      <w:pPr>
        <w:pStyle w:val="41"/>
        <w:spacing w:before="156" w:after="156"/>
        <w:rPr>
          <w:rFonts w:hAnsi="宋体"/>
        </w:rPr>
      </w:pPr>
      <w:r>
        <w:rPr>
          <w:rFonts w:hint="eastAsia" w:ascii="宋体" w:hAnsi="宋体" w:eastAsia="宋体"/>
        </w:rPr>
        <w:t>秧本比应机插1：110～125，手插1：20～25。</w:t>
      </w:r>
    </w:p>
    <w:p>
      <w:pPr>
        <w:pStyle w:val="41"/>
        <w:spacing w:before="156" w:after="156"/>
        <w:rPr>
          <w:rFonts w:ascii="宋体" w:hAnsi="宋体" w:eastAsia="宋体"/>
        </w:rPr>
      </w:pPr>
      <w:r>
        <w:rPr>
          <w:rFonts w:hint="eastAsia" w:ascii="宋体" w:hAnsi="宋体"/>
        </w:rPr>
        <w:t>秧板制作</w:t>
      </w:r>
    </w:p>
    <w:p>
      <w:pPr>
        <w:pStyle w:val="41"/>
        <w:numPr>
          <w:ilvl w:val="0"/>
          <w:numId w:val="0"/>
        </w:numPr>
        <w:spacing w:before="156" w:after="156"/>
        <w:ind w:firstLine="525" w:firstLineChars="250"/>
        <w:jc w:val="both"/>
        <w:rPr>
          <w:rFonts w:ascii="宋体" w:hAnsi="宋体" w:eastAsia="宋体"/>
        </w:rPr>
      </w:pPr>
      <w:r>
        <w:rPr>
          <w:rFonts w:hint="eastAsia" w:ascii="宋体" w:hAnsi="宋体" w:eastAsia="宋体"/>
        </w:rPr>
        <w:t>机插秧在空闲期间做好透气秧田。选择晴好天气用拖拉机进行浅翻耕，然后开沟，要求板面宽1.5 m，沟宽0.4 m，开沟后灌水上板，将秧板耕耙平整，播种前一星期灌水上板，保持平沟水，播前一天，放干沟水，然后将沟糊泥用工具放到板面上趟平待播。</w:t>
      </w:r>
    </w:p>
    <w:p>
      <w:pPr>
        <w:pStyle w:val="41"/>
        <w:numPr>
          <w:ilvl w:val="0"/>
          <w:numId w:val="0"/>
        </w:numPr>
        <w:spacing w:before="156" w:after="156"/>
        <w:ind w:firstLine="420" w:firstLineChars="200"/>
        <w:jc w:val="both"/>
        <w:rPr>
          <w:rFonts w:ascii="宋体" w:hAnsi="宋体" w:eastAsia="宋体"/>
        </w:rPr>
      </w:pPr>
      <w:r>
        <w:rPr>
          <w:rFonts w:hint="eastAsia" w:ascii="宋体" w:hAnsi="宋体" w:eastAsia="宋体"/>
        </w:rPr>
        <w:t xml:space="preserve">手插秧田播前3 d～5 </w:t>
      </w:r>
      <w:r>
        <w:rPr>
          <w:rFonts w:hint="eastAsia" w:ascii="宋体" w:hAnsi="宋体" w:eastAsia="宋体"/>
          <w:bCs/>
        </w:rPr>
        <w:t>d</w:t>
      </w:r>
      <w:r>
        <w:rPr>
          <w:rFonts w:hint="eastAsia" w:ascii="宋体" w:hAnsi="宋体" w:eastAsia="宋体"/>
        </w:rPr>
        <w:t>精做秧板，板面宽1.3 m，沟宽0.3 m，秧板做好后平沟水，播前一天排干水，播种前用沟泥趟平板面。</w:t>
      </w:r>
    </w:p>
    <w:p>
      <w:pPr>
        <w:pStyle w:val="41"/>
        <w:spacing w:before="156" w:after="156"/>
        <w:rPr>
          <w:rFonts w:ascii="宋体" w:hAnsi="宋体" w:eastAsia="宋体"/>
        </w:rPr>
      </w:pPr>
      <w:r>
        <w:rPr>
          <w:rFonts w:hint="eastAsia" w:ascii="宋体" w:hAnsi="宋体"/>
        </w:rPr>
        <w:t>机插秧盘准备</w:t>
      </w:r>
      <w:r>
        <w:rPr>
          <w:rFonts w:hint="eastAsia" w:ascii="宋体" w:hAnsi="宋体" w:eastAsia="宋体" w:cs="宋体"/>
        </w:rPr>
        <w:t>：</w:t>
      </w:r>
      <w:r>
        <w:rPr>
          <w:rFonts w:hint="eastAsia" w:ascii="宋体" w:hAnsi="宋体" w:eastAsia="宋体"/>
        </w:rPr>
        <w:t>每 667 m</w:t>
      </w:r>
      <w:r>
        <w:rPr>
          <w:rFonts w:hint="eastAsia" w:ascii="宋体" w:hAnsi="宋体" w:eastAsia="宋体"/>
          <w:vertAlign w:val="superscript"/>
        </w:rPr>
        <w:t>2</w:t>
      </w:r>
      <w:r>
        <w:rPr>
          <w:rFonts w:hint="eastAsia" w:ascii="宋体" w:hAnsi="宋体" w:eastAsia="宋体"/>
        </w:rPr>
        <w:t>大田准备内径规格为58 cm×28 cm×2.5 cm～2.8 cm的育秧盘15盘～20盘。</w:t>
      </w:r>
    </w:p>
    <w:p>
      <w:pPr>
        <w:pStyle w:val="42"/>
        <w:spacing w:before="156" w:after="156"/>
        <w:rPr>
          <w:rFonts w:ascii="宋体" w:hAnsi="宋体"/>
        </w:rPr>
      </w:pPr>
      <w:r>
        <w:rPr>
          <w:rFonts w:hint="eastAsia" w:ascii="宋体" w:hAnsi="宋体"/>
        </w:rPr>
        <w:t>机插营养土准备</w:t>
      </w:r>
    </w:p>
    <w:p>
      <w:pPr>
        <w:pStyle w:val="41"/>
        <w:spacing w:before="156" w:after="156"/>
        <w:rPr>
          <w:rFonts w:ascii="宋体" w:hAnsi="宋体" w:eastAsia="宋体"/>
          <w:bCs/>
        </w:rPr>
      </w:pPr>
      <w:r>
        <w:rPr>
          <w:rFonts w:hint="eastAsia" w:ascii="宋体" w:hAnsi="宋体" w:eastAsia="宋体"/>
          <w:bCs/>
        </w:rPr>
        <w:t>营养土宜选用肥沃、无残渣、无砾石、无杂草、无污染的土壤，适宜作营养土的有菜园土、水稻土等。</w:t>
      </w:r>
    </w:p>
    <w:p>
      <w:pPr>
        <w:pStyle w:val="41"/>
        <w:spacing w:before="156" w:after="156"/>
        <w:rPr>
          <w:rFonts w:ascii="宋体" w:hAnsi="宋体"/>
          <w:bCs/>
        </w:rPr>
      </w:pPr>
      <w:r>
        <w:rPr>
          <w:rFonts w:hint="eastAsia" w:ascii="宋体" w:hAnsi="宋体" w:eastAsia="宋体"/>
          <w:bCs/>
        </w:rPr>
        <w:t>营养土用量应根据育秧盘数确定营养土数量，每盘需营养土4 kg、覆盖土1 kg。</w:t>
      </w:r>
    </w:p>
    <w:p>
      <w:pPr>
        <w:pStyle w:val="41"/>
        <w:spacing w:before="156" w:after="156"/>
      </w:pPr>
      <w:r>
        <w:rPr>
          <w:rFonts w:hint="eastAsia" w:ascii="宋体" w:hAnsi="宋体" w:eastAsia="宋体"/>
          <w:bCs/>
        </w:rPr>
        <w:t>营养土加工时肥沃的菜园土可直接过筛作营养土和覆盖土，其他类型的土壤需进行培肥。培肥方法：在土壤过筛后每100 kg细土均匀拌入0.5 kg的壮秧剂。培肥土保持一定湿度，即捏之成团、触之即散，培肥工作需在播种前30 d进行，培肥后用农膜覆盖堆闷，覆盖土不培肥。</w:t>
      </w:r>
    </w:p>
    <w:p>
      <w:pPr>
        <w:pStyle w:val="41"/>
        <w:spacing w:before="156" w:after="156"/>
      </w:pPr>
      <w:r>
        <w:rPr>
          <w:rFonts w:hint="eastAsia" w:ascii="宋体" w:hAnsi="宋体" w:eastAsia="宋体"/>
          <w:bCs/>
        </w:rPr>
        <w:t>商品基质宜用优质商品基质（主要填充成份为无机物）每盘4L。</w:t>
      </w:r>
    </w:p>
    <w:p>
      <w:pPr>
        <w:pStyle w:val="58"/>
        <w:spacing w:before="312" w:after="312"/>
      </w:pPr>
      <w:r>
        <w:rPr>
          <w:rFonts w:hint="eastAsia"/>
        </w:rPr>
        <w:t>种子准备</w:t>
      </w:r>
    </w:p>
    <w:p>
      <w:pPr>
        <w:pStyle w:val="42"/>
        <w:spacing w:before="156" w:after="156"/>
        <w:rPr>
          <w:rFonts w:ascii="宋体" w:hAnsi="宋体" w:eastAsia="宋体"/>
        </w:rPr>
      </w:pPr>
      <w:r>
        <w:rPr>
          <w:rFonts w:hint="eastAsia" w:ascii="宋体" w:hAnsi="宋体" w:eastAsia="宋体" w:cs="宋体"/>
        </w:rPr>
        <w:t>种子质量应符合</w:t>
      </w:r>
      <w:r>
        <w:rPr>
          <w:rFonts w:hint="eastAsia" w:ascii="宋体" w:hAnsi="宋体"/>
        </w:rPr>
        <w:t>GB 4404.1-2008</w:t>
      </w:r>
      <w:r>
        <w:rPr>
          <w:rFonts w:hint="eastAsia" w:ascii="宋体" w:hAnsi="宋体" w:eastAsia="宋体" w:cs="宋体"/>
        </w:rPr>
        <w:t>《粮食作物种子 第1部分：禾谷类》的规定。</w:t>
      </w:r>
    </w:p>
    <w:p>
      <w:pPr>
        <w:pStyle w:val="42"/>
        <w:spacing w:before="156" w:after="156"/>
        <w:rPr>
          <w:rFonts w:ascii="宋体" w:hAnsi="宋体" w:eastAsia="宋体"/>
        </w:rPr>
      </w:pPr>
      <w:r>
        <w:rPr>
          <w:rFonts w:hint="eastAsia" w:ascii="宋体" w:hAnsi="宋体" w:eastAsia="宋体" w:cs="宋体"/>
        </w:rPr>
        <w:t>晒种宜在</w:t>
      </w:r>
      <w:r>
        <w:rPr>
          <w:rFonts w:hint="eastAsia" w:ascii="宋体" w:hAnsi="宋体" w:eastAsia="宋体"/>
        </w:rPr>
        <w:t>播种前选择晴好天气晒种1</w:t>
      </w:r>
      <w:r>
        <w:rPr>
          <w:rFonts w:hint="eastAsia" w:ascii="宋体" w:hAnsi="宋体" w:eastAsia="宋体"/>
          <w:bCs/>
        </w:rPr>
        <w:t xml:space="preserve"> d</w:t>
      </w:r>
      <w:r>
        <w:rPr>
          <w:rFonts w:hint="eastAsia" w:ascii="宋体" w:hAnsi="宋体" w:eastAsia="宋体"/>
        </w:rPr>
        <w:t>，避免高温曝晒、热谷浸种。</w:t>
      </w:r>
    </w:p>
    <w:p>
      <w:pPr>
        <w:pStyle w:val="42"/>
        <w:spacing w:before="156" w:after="156"/>
        <w:rPr>
          <w:rFonts w:ascii="宋体" w:hAnsi="宋体" w:eastAsia="宋体"/>
        </w:rPr>
      </w:pPr>
      <w:r>
        <w:rPr>
          <w:rFonts w:hint="eastAsia" w:ascii="宋体" w:hAnsi="宋体" w:eastAsia="宋体" w:cs="宋体"/>
        </w:rPr>
        <w:t>药剂浸种应选用2</w:t>
      </w:r>
      <w:r>
        <w:rPr>
          <w:rFonts w:hint="eastAsia" w:ascii="宋体" w:hAnsi="宋体" w:eastAsia="宋体"/>
        </w:rPr>
        <w:t>5%氰烯菌酯悬浮剂或</w:t>
      </w:r>
      <w:r>
        <w:rPr>
          <w:rFonts w:hint="eastAsia" w:ascii="宋体" w:hAnsi="宋体" w:eastAsia="宋体" w:cs="宋体"/>
        </w:rPr>
        <w:t>25</w:t>
      </w:r>
      <w:r>
        <w:rPr>
          <w:rFonts w:hint="eastAsia" w:ascii="宋体" w:hAnsi="宋体" w:eastAsia="宋体"/>
        </w:rPr>
        <w:t>%</w:t>
      </w:r>
      <w:r>
        <w:rPr>
          <w:rFonts w:ascii="宋体" w:hAnsi="宋体" w:eastAsia="宋体"/>
          <w:bCs/>
        </w:rPr>
        <w:t>咪鲜胺</w:t>
      </w:r>
      <w:r>
        <w:rPr>
          <w:rFonts w:hint="eastAsia" w:ascii="宋体" w:hAnsi="宋体" w:eastAsia="宋体"/>
        </w:rPr>
        <w:t>乳油3000倍药液</w:t>
      </w:r>
      <w:r>
        <w:rPr>
          <w:rFonts w:hint="eastAsia" w:ascii="宋体" w:hAnsi="宋体" w:eastAsia="宋体"/>
          <w:bCs/>
          <w:kern w:val="36"/>
        </w:rPr>
        <w:t>浸种</w:t>
      </w:r>
      <w:r>
        <w:rPr>
          <w:rFonts w:hint="eastAsia" w:ascii="宋体" w:hAnsi="宋体" w:eastAsia="宋体" w:cs="宋体"/>
        </w:rPr>
        <w:t>12 h～24 h</w:t>
      </w:r>
      <w:r>
        <w:rPr>
          <w:rFonts w:hint="eastAsia" w:ascii="宋体" w:hAnsi="宋体" w:eastAsia="宋体"/>
        </w:rPr>
        <w:t>。</w:t>
      </w:r>
    </w:p>
    <w:p>
      <w:pPr>
        <w:pStyle w:val="42"/>
        <w:spacing w:before="156" w:after="156"/>
        <w:rPr>
          <w:rFonts w:ascii="宋体" w:hAnsi="宋体" w:eastAsia="宋体"/>
          <w:color w:val="000000"/>
        </w:rPr>
      </w:pPr>
      <w:r>
        <w:rPr>
          <w:rFonts w:hint="eastAsia" w:ascii="宋体" w:hAnsi="宋体" w:eastAsia="宋体"/>
          <w:color w:val="000000"/>
        </w:rPr>
        <w:t>药剂拌种应将</w:t>
      </w:r>
      <w:r>
        <w:rPr>
          <w:rFonts w:hint="eastAsia" w:ascii="宋体" w:hAnsi="宋体" w:eastAsia="宋体" w:cs="宋体"/>
          <w:color w:val="000000"/>
        </w:rPr>
        <w:t>浸</w:t>
      </w:r>
      <w:r>
        <w:rPr>
          <w:rFonts w:hint="eastAsia" w:ascii="宋体" w:hAnsi="宋体" w:eastAsia="宋体"/>
          <w:color w:val="000000"/>
        </w:rPr>
        <w:t>种后的种子捞起沥干，每公斤用10%吡虫啉可湿性粉剂2 g～3 g加</w:t>
      </w:r>
      <w:r>
        <w:rPr>
          <w:rFonts w:hint="eastAsia" w:ascii="宋体" w:hAnsi="宋体" w:eastAsia="宋体"/>
        </w:rPr>
        <w:t>15 ml～</w:t>
      </w:r>
      <w:r>
        <w:rPr>
          <w:rFonts w:hint="eastAsia" w:ascii="宋体" w:hAnsi="宋体" w:eastAsia="宋体"/>
          <w:color w:val="000000"/>
        </w:rPr>
        <w:t>20 ml水溶解后均匀拌种。</w:t>
      </w:r>
    </w:p>
    <w:p>
      <w:pPr>
        <w:pStyle w:val="42"/>
        <w:spacing w:before="156" w:after="156"/>
        <w:rPr>
          <w:rFonts w:ascii="宋体" w:hAnsi="宋体" w:eastAsia="宋体"/>
          <w:color w:val="000000"/>
        </w:rPr>
      </w:pPr>
      <w:r>
        <w:rPr>
          <w:rFonts w:hint="eastAsia" w:ascii="宋体" w:hAnsi="宋体" w:eastAsia="宋体"/>
          <w:color w:val="000000"/>
        </w:rPr>
        <w:t>催芽时</w:t>
      </w:r>
      <w:r>
        <w:rPr>
          <w:rFonts w:ascii="宋体" w:hAnsi="宋体" w:eastAsia="宋体"/>
          <w:color w:val="000000"/>
        </w:rPr>
        <w:t>种子</w:t>
      </w:r>
      <w:r>
        <w:rPr>
          <w:rFonts w:hint="eastAsia" w:ascii="宋体" w:hAnsi="宋体" w:eastAsia="宋体"/>
          <w:color w:val="000000"/>
        </w:rPr>
        <w:t>在</w:t>
      </w:r>
      <w:r>
        <w:rPr>
          <w:rFonts w:ascii="宋体" w:hAnsi="宋体" w:eastAsia="宋体"/>
          <w:color w:val="000000"/>
        </w:rPr>
        <w:t>通气保湿</w:t>
      </w:r>
      <w:r>
        <w:rPr>
          <w:rFonts w:hint="eastAsia" w:ascii="宋体" w:hAnsi="宋体" w:eastAsia="宋体"/>
          <w:color w:val="000000"/>
        </w:rPr>
        <w:t>条件下保持35</w:t>
      </w:r>
      <w:r>
        <w:rPr>
          <w:rFonts w:ascii="宋体" w:hAnsi="宋体" w:eastAsia="宋体"/>
          <w:color w:val="000000"/>
        </w:rPr>
        <w:t>℃</w:t>
      </w:r>
      <w:r>
        <w:rPr>
          <w:rFonts w:hint="eastAsia" w:ascii="宋体" w:hAnsi="宋体" w:eastAsia="宋体"/>
          <w:color w:val="000000"/>
        </w:rPr>
        <w:t>～38</w:t>
      </w:r>
      <w:r>
        <w:rPr>
          <w:rFonts w:ascii="宋体" w:hAnsi="宋体" w:eastAsia="宋体"/>
          <w:color w:val="000000"/>
        </w:rPr>
        <w:t>℃催芽，破胸露白后降至30℃</w:t>
      </w:r>
      <w:r>
        <w:rPr>
          <w:rFonts w:hint="eastAsia" w:ascii="宋体" w:hAnsi="宋体" w:eastAsia="宋体"/>
          <w:color w:val="000000"/>
        </w:rPr>
        <w:t>～32</w:t>
      </w:r>
      <w:r>
        <w:rPr>
          <w:rFonts w:ascii="宋体" w:hAnsi="宋体" w:eastAsia="宋体"/>
          <w:color w:val="000000"/>
        </w:rPr>
        <w:t>℃。</w:t>
      </w:r>
      <w:r>
        <w:rPr>
          <w:rFonts w:hint="eastAsia" w:ascii="宋体" w:hAnsi="宋体" w:eastAsia="宋体"/>
          <w:color w:val="000000"/>
        </w:rPr>
        <w:t>机插栽培的种子露白即可播种；手插栽培可在芽长半粒谷时播种。</w:t>
      </w:r>
    </w:p>
    <w:p>
      <w:pPr>
        <w:pStyle w:val="58"/>
        <w:spacing w:before="312" w:after="312"/>
      </w:pPr>
      <w:r>
        <w:rPr>
          <w:rFonts w:hint="eastAsia"/>
        </w:rPr>
        <w:t>育秧技术</w:t>
      </w:r>
    </w:p>
    <w:p>
      <w:pPr>
        <w:pStyle w:val="42"/>
        <w:spacing w:before="156" w:after="156"/>
        <w:rPr>
          <w:rFonts w:ascii="宋体" w:hAnsi="宋体"/>
        </w:rPr>
      </w:pPr>
      <w:r>
        <w:rPr>
          <w:rFonts w:hint="eastAsia" w:ascii="宋体" w:hAnsi="宋体" w:eastAsia="宋体"/>
          <w:color w:val="000000"/>
        </w:rPr>
        <w:t>播种期宜在</w:t>
      </w:r>
      <w:r>
        <w:rPr>
          <w:rFonts w:hint="eastAsia" w:ascii="宋体" w:hAnsi="宋体" w:eastAsia="宋体"/>
        </w:rPr>
        <w:t>5月中旬抢晴播种。种植面积大的，要做到分批播种。</w:t>
      </w:r>
    </w:p>
    <w:p>
      <w:pPr>
        <w:pStyle w:val="42"/>
        <w:spacing w:before="156" w:after="156"/>
        <w:rPr>
          <w:rFonts w:ascii="宋体" w:hAnsi="宋体" w:eastAsia="宋体"/>
        </w:rPr>
      </w:pPr>
      <w:r>
        <w:rPr>
          <w:rFonts w:hint="eastAsia" w:ascii="宋体" w:hAnsi="宋体"/>
          <w:color w:val="000000" w:themeColor="text1"/>
        </w:rPr>
        <w:t>用种量与播种量</w:t>
      </w:r>
    </w:p>
    <w:p>
      <w:pPr>
        <w:pStyle w:val="42"/>
        <w:numPr>
          <w:ilvl w:val="0"/>
          <w:numId w:val="0"/>
        </w:numPr>
        <w:spacing w:before="156" w:after="156"/>
        <w:ind w:firstLine="420" w:firstLineChars="200"/>
        <w:rPr>
          <w:rFonts w:ascii="宋体" w:hAnsi="宋体" w:eastAsia="宋体"/>
        </w:rPr>
      </w:pPr>
      <w:r>
        <w:rPr>
          <w:rFonts w:hint="eastAsia" w:ascii="宋体" w:hAnsi="宋体" w:eastAsia="宋体"/>
        </w:rPr>
        <w:t>机插栽培每667 m</w:t>
      </w:r>
      <w:r>
        <w:rPr>
          <w:rFonts w:hint="eastAsia" w:ascii="宋体" w:hAnsi="宋体" w:eastAsia="宋体"/>
          <w:vertAlign w:val="superscript"/>
        </w:rPr>
        <w:t>2</w:t>
      </w:r>
      <w:r>
        <w:rPr>
          <w:rFonts w:hint="eastAsia" w:ascii="宋体" w:hAnsi="宋体" w:eastAsia="宋体"/>
        </w:rPr>
        <w:t>大田用种量为1 kg左右，每盘折干谷55g～65 g左右。手插栽培每667 m</w:t>
      </w:r>
      <w:r>
        <w:rPr>
          <w:rFonts w:hint="eastAsia" w:ascii="宋体" w:hAnsi="宋体" w:eastAsia="宋体"/>
          <w:vertAlign w:val="superscript"/>
        </w:rPr>
        <w:t>2</w:t>
      </w:r>
      <w:r>
        <w:rPr>
          <w:rFonts w:hint="eastAsia" w:ascii="宋体" w:hAnsi="宋体" w:eastAsia="宋体"/>
        </w:rPr>
        <w:t>用种量0.4 kg～0.5 kg，每667 m</w:t>
      </w:r>
      <w:r>
        <w:rPr>
          <w:rFonts w:hint="eastAsia" w:ascii="宋体" w:hAnsi="宋体" w:eastAsia="宋体"/>
          <w:vertAlign w:val="superscript"/>
        </w:rPr>
        <w:t xml:space="preserve">2 </w:t>
      </w:r>
      <w:r>
        <w:rPr>
          <w:rFonts w:hint="eastAsia" w:ascii="宋体" w:hAnsi="宋体" w:eastAsia="宋体"/>
        </w:rPr>
        <w:t>播10 kg。</w:t>
      </w:r>
    </w:p>
    <w:p>
      <w:pPr>
        <w:pStyle w:val="42"/>
        <w:spacing w:before="156" w:after="156"/>
        <w:rPr>
          <w:rFonts w:ascii="宋体" w:hAnsi="宋体"/>
        </w:rPr>
      </w:pPr>
      <w:r>
        <w:rPr>
          <w:rFonts w:hint="eastAsia" w:ascii="宋体" w:hAnsi="宋体"/>
        </w:rPr>
        <w:t>机插机械播种营养土（基质）育秧</w:t>
      </w:r>
    </w:p>
    <w:p>
      <w:pPr>
        <w:pStyle w:val="41"/>
        <w:spacing w:before="156" w:after="156"/>
        <w:rPr>
          <w:rFonts w:ascii="宋体" w:hAnsi="宋体" w:eastAsia="宋体"/>
        </w:rPr>
      </w:pPr>
      <w:r>
        <w:rPr>
          <w:rFonts w:hint="eastAsia" w:ascii="宋体" w:hAnsi="宋体" w:eastAsia="宋体"/>
        </w:rPr>
        <w:t>送盘：将所需硬盘依次放到播种机的传送带上。</w:t>
      </w:r>
    </w:p>
    <w:p>
      <w:pPr>
        <w:pStyle w:val="41"/>
        <w:spacing w:before="156" w:after="156"/>
        <w:rPr>
          <w:rFonts w:ascii="宋体" w:hAnsi="宋体"/>
        </w:rPr>
      </w:pPr>
      <w:r>
        <w:rPr>
          <w:rFonts w:hint="eastAsia" w:ascii="宋体" w:hAnsi="宋体" w:eastAsia="宋体"/>
        </w:rPr>
        <w:t>铺土：调节营养土（基质）排量活门，使秧盘的底土厚度控制在2 cm～2.3 cm。</w:t>
      </w:r>
    </w:p>
    <w:p>
      <w:pPr>
        <w:pStyle w:val="41"/>
        <w:spacing w:before="156" w:after="156"/>
        <w:rPr>
          <w:rFonts w:ascii="宋体" w:hAnsi="宋体" w:eastAsia="宋体"/>
        </w:rPr>
      </w:pPr>
      <w:r>
        <w:rPr>
          <w:rFonts w:hint="eastAsia" w:ascii="宋体" w:hAnsi="宋体" w:eastAsia="宋体"/>
        </w:rPr>
        <w:t>喷水：调节喷水装置，控制喷水量，达到盘面无积水，底土全湿透的要求。</w:t>
      </w:r>
    </w:p>
    <w:p>
      <w:pPr>
        <w:pStyle w:val="41"/>
        <w:spacing w:before="156" w:after="156"/>
        <w:rPr>
          <w:rFonts w:ascii="宋体" w:hAnsi="宋体" w:eastAsia="宋体"/>
        </w:rPr>
      </w:pPr>
      <w:r>
        <w:rPr>
          <w:rFonts w:hint="eastAsia" w:ascii="宋体" w:hAnsi="宋体" w:eastAsia="宋体"/>
        </w:rPr>
        <w:t>播种：调节播种装置，控制播种速度，使每只秧盘的播种量达到要求。</w:t>
      </w:r>
    </w:p>
    <w:p>
      <w:pPr>
        <w:pStyle w:val="41"/>
        <w:spacing w:before="156" w:after="156"/>
        <w:rPr>
          <w:rFonts w:ascii="宋体" w:hAnsi="宋体" w:eastAsia="宋体"/>
        </w:rPr>
      </w:pPr>
      <w:r>
        <w:rPr>
          <w:rFonts w:hint="eastAsia" w:ascii="宋体" w:hAnsi="宋体" w:eastAsia="宋体"/>
        </w:rPr>
        <w:t>覆土：调节覆土机排量活门，使覆土厚度控制在0.5 cm左右。</w:t>
      </w:r>
    </w:p>
    <w:p>
      <w:pPr>
        <w:pStyle w:val="41"/>
        <w:spacing w:before="156" w:after="156"/>
        <w:rPr>
          <w:rFonts w:ascii="宋体" w:hAnsi="宋体" w:eastAsia="宋体" w:cs="宋体"/>
        </w:rPr>
      </w:pPr>
      <w:r>
        <w:rPr>
          <w:rFonts w:hint="eastAsia" w:ascii="宋体" w:hAnsi="宋体" w:eastAsia="宋体"/>
        </w:rPr>
        <w:t>秧田铺盘：在</w:t>
      </w:r>
      <w:r>
        <w:rPr>
          <w:rFonts w:hint="eastAsia" w:ascii="宋体" w:hAnsi="宋体" w:eastAsia="宋体" w:cs="宋体"/>
        </w:rPr>
        <w:t>秧板上平铺秧盘，</w:t>
      </w:r>
      <w:r>
        <w:rPr>
          <w:rFonts w:hint="eastAsia" w:ascii="宋体" w:hAnsi="宋体" w:eastAsia="宋体" w:cs="仿宋_GB2312"/>
        </w:rPr>
        <w:t>横排两行，依次平铺，秧盘紧密摆放，盘边沿紧靠，盘底与</w:t>
      </w:r>
      <w:r>
        <w:rPr>
          <w:rFonts w:hint="eastAsia" w:ascii="宋体" w:hAnsi="宋体" w:eastAsia="宋体" w:cs="宋体"/>
        </w:rPr>
        <w:t>秧板紧密贴合。</w:t>
      </w:r>
    </w:p>
    <w:p>
      <w:pPr>
        <w:pStyle w:val="41"/>
        <w:spacing w:before="156" w:after="156"/>
        <w:rPr>
          <w:rFonts w:ascii="宋体" w:hAnsi="宋体" w:eastAsia="宋体" w:cs="宋体"/>
        </w:rPr>
      </w:pPr>
      <w:r>
        <w:rPr>
          <w:rFonts w:hint="eastAsia" w:ascii="宋体" w:hAnsi="宋体" w:eastAsia="宋体"/>
        </w:rPr>
        <w:t>秧田除草：铺盘</w:t>
      </w:r>
      <w:r>
        <w:rPr>
          <w:rFonts w:hint="eastAsia" w:ascii="宋体" w:hAnsi="宋体" w:eastAsia="宋体" w:cs="宋体"/>
        </w:rPr>
        <w:t>后，每</w:t>
      </w:r>
      <w:r>
        <w:rPr>
          <w:rFonts w:hint="eastAsia" w:ascii="宋体" w:hAnsi="宋体" w:eastAsia="宋体"/>
        </w:rPr>
        <w:t xml:space="preserve"> 667 m</w:t>
      </w:r>
      <w:r>
        <w:rPr>
          <w:rFonts w:hint="eastAsia" w:ascii="宋体" w:hAnsi="宋体" w:eastAsia="宋体"/>
          <w:vertAlign w:val="superscript"/>
        </w:rPr>
        <w:t>2</w:t>
      </w:r>
      <w:r>
        <w:rPr>
          <w:rFonts w:hint="eastAsia" w:ascii="宋体" w:hAnsi="宋体" w:eastAsia="宋体" w:cs="宋体"/>
        </w:rPr>
        <w:t>秧田用17.2%哌丹•苄可湿性粉剂200 g～250 g兑水40 kg均匀喷施于板面。</w:t>
      </w:r>
    </w:p>
    <w:p>
      <w:pPr>
        <w:pStyle w:val="41"/>
        <w:spacing w:before="156" w:after="156"/>
        <w:rPr>
          <w:rFonts w:ascii="宋体" w:hAnsi="宋体" w:eastAsia="宋体"/>
        </w:rPr>
      </w:pPr>
      <w:r>
        <w:rPr>
          <w:rFonts w:hint="eastAsia" w:ascii="宋体" w:hAnsi="宋体" w:eastAsia="宋体"/>
        </w:rPr>
        <w:t>灌水：秧田灌一次平沟水，灌水不能淹没秧盘，通过盘底吸水使盘泥湿润。</w:t>
      </w:r>
    </w:p>
    <w:p>
      <w:pPr>
        <w:pStyle w:val="42"/>
        <w:spacing w:before="156" w:after="156"/>
        <w:rPr>
          <w:rFonts w:hAnsi="宋体" w:cs="宋体"/>
        </w:rPr>
      </w:pPr>
      <w:r>
        <w:rPr>
          <w:rFonts w:hint="eastAsia" w:hAnsi="宋体" w:cs="宋体"/>
        </w:rPr>
        <w:t>机插人工播种沟泥育秧</w:t>
      </w:r>
    </w:p>
    <w:p>
      <w:pPr>
        <w:pStyle w:val="41"/>
        <w:spacing w:before="156" w:after="156"/>
        <w:rPr>
          <w:rFonts w:ascii="宋体" w:hAnsi="宋体" w:eastAsia="宋体" w:cs="宋体"/>
        </w:rPr>
      </w:pPr>
      <w:r>
        <w:rPr>
          <w:rFonts w:hint="eastAsia" w:ascii="宋体" w:hAnsi="宋体" w:eastAsia="宋体"/>
        </w:rPr>
        <w:t>秧田施基肥</w:t>
      </w:r>
      <w:r>
        <w:rPr>
          <w:rFonts w:hint="eastAsia" w:ascii="宋体" w:hAnsi="宋体" w:eastAsia="宋体" w:cs="宋体"/>
        </w:rPr>
        <w:t>宜</w:t>
      </w:r>
      <w:r>
        <w:rPr>
          <w:rFonts w:hint="eastAsia" w:ascii="宋体" w:hAnsi="宋体" w:eastAsia="宋体"/>
        </w:rPr>
        <w:t>每667 m</w:t>
      </w:r>
      <w:r>
        <w:rPr>
          <w:rFonts w:hint="eastAsia" w:ascii="宋体" w:hAnsi="宋体" w:eastAsia="宋体"/>
          <w:vertAlign w:val="superscript"/>
        </w:rPr>
        <w:t>2</w:t>
      </w:r>
      <w:r>
        <w:rPr>
          <w:rFonts w:hint="eastAsia" w:ascii="宋体" w:hAnsi="宋体" w:eastAsia="宋体" w:cs="宋体"/>
        </w:rPr>
        <w:t>秧田</w:t>
      </w:r>
      <w:r>
        <w:rPr>
          <w:rFonts w:hint="eastAsia" w:ascii="宋体" w:hAnsi="宋体" w:eastAsia="宋体"/>
        </w:rPr>
        <w:t>施壮秧剂20 kg或</w:t>
      </w:r>
      <w:r>
        <w:rPr>
          <w:rFonts w:hint="eastAsia" w:ascii="宋体" w:hAnsi="宋体" w:eastAsia="宋体" w:cs="宋体"/>
        </w:rPr>
        <w:t>施三元复合肥</w:t>
      </w:r>
      <w:r>
        <w:rPr>
          <w:rFonts w:hint="eastAsia" w:ascii="宋体" w:hAnsi="宋体" w:eastAsia="宋体"/>
        </w:rPr>
        <w:t>(N-P</w:t>
      </w:r>
      <w:r>
        <w:rPr>
          <w:rFonts w:hint="eastAsia" w:ascii="宋体" w:hAnsi="宋体" w:eastAsia="宋体"/>
          <w:vertAlign w:val="subscript"/>
        </w:rPr>
        <w:t>2</w:t>
      </w:r>
      <w:r>
        <w:rPr>
          <w:rFonts w:hint="eastAsia" w:ascii="宋体" w:hAnsi="宋体" w:eastAsia="宋体"/>
        </w:rPr>
        <w:t>O</w:t>
      </w:r>
      <w:r>
        <w:rPr>
          <w:rFonts w:hint="eastAsia" w:ascii="宋体" w:hAnsi="宋体" w:eastAsia="宋体"/>
          <w:vertAlign w:val="subscript"/>
        </w:rPr>
        <w:t>5</w:t>
      </w:r>
      <w:r>
        <w:rPr>
          <w:rFonts w:hint="eastAsia" w:ascii="宋体" w:hAnsi="宋体" w:eastAsia="宋体"/>
        </w:rPr>
        <w:t>-K</w:t>
      </w:r>
      <w:r>
        <w:rPr>
          <w:rFonts w:hint="eastAsia" w:ascii="宋体" w:hAnsi="宋体" w:eastAsia="宋体"/>
          <w:vertAlign w:val="subscript"/>
        </w:rPr>
        <w:t>2</w:t>
      </w:r>
      <w:r>
        <w:rPr>
          <w:rFonts w:hint="eastAsia" w:ascii="宋体" w:hAnsi="宋体" w:eastAsia="宋体"/>
        </w:rPr>
        <w:t>O=15：15：15)</w:t>
      </w:r>
      <w:r>
        <w:rPr>
          <w:rFonts w:hint="eastAsia" w:ascii="宋体" w:hAnsi="宋体" w:eastAsia="宋体" w:cs="宋体"/>
        </w:rPr>
        <w:t>30 kg，直接施于毛秧板。</w:t>
      </w:r>
    </w:p>
    <w:p>
      <w:pPr>
        <w:pStyle w:val="41"/>
        <w:spacing w:before="156" w:after="156"/>
        <w:rPr>
          <w:rFonts w:ascii="宋体" w:hAnsi="宋体" w:eastAsia="宋体" w:cs="Arial Unicode MS"/>
        </w:rPr>
      </w:pPr>
      <w:r>
        <w:rPr>
          <w:rFonts w:hint="eastAsia" w:ascii="宋体" w:hAnsi="宋体" w:eastAsia="宋体"/>
        </w:rPr>
        <w:t>铺盘应在</w:t>
      </w:r>
      <w:r>
        <w:rPr>
          <w:rFonts w:hint="eastAsia" w:ascii="宋体" w:hAnsi="宋体" w:eastAsia="宋体" w:cs="Arial Unicode MS"/>
        </w:rPr>
        <w:t>秧板上平铺秧盘，横排两行，依次平铺，秧盘紧密摆放，盘边沿重叠或紧靠，盘底与秧板紧密贴合。</w:t>
      </w:r>
    </w:p>
    <w:p>
      <w:pPr>
        <w:pStyle w:val="41"/>
        <w:spacing w:before="156" w:after="156"/>
        <w:rPr>
          <w:rFonts w:ascii="宋体" w:hAnsi="宋体" w:eastAsia="宋体" w:cs="宋体"/>
        </w:rPr>
      </w:pPr>
      <w:r>
        <w:rPr>
          <w:rFonts w:hint="eastAsia" w:ascii="宋体" w:hAnsi="宋体" w:eastAsia="宋体"/>
        </w:rPr>
        <w:t>秧盘上泥应</w:t>
      </w:r>
      <w:r>
        <w:rPr>
          <w:rFonts w:hint="eastAsia" w:ascii="宋体" w:hAnsi="宋体" w:eastAsia="宋体" w:cs="宋体"/>
        </w:rPr>
        <w:t>将细糊泥放入秧盘，拣掉石砾、杂草、稻桩等杂物，然后沿秧盘边沿耥平，要求盘内泥浆厚薄均匀。</w:t>
      </w:r>
    </w:p>
    <w:p>
      <w:pPr>
        <w:pStyle w:val="41"/>
        <w:spacing w:before="156" w:after="156"/>
        <w:rPr>
          <w:rFonts w:ascii="宋体" w:hAnsi="宋体"/>
        </w:rPr>
      </w:pPr>
      <w:r>
        <w:rPr>
          <w:rFonts w:hint="eastAsia" w:ascii="宋体" w:hAnsi="宋体" w:eastAsia="宋体"/>
        </w:rPr>
        <w:t>播种与塌谷：秧</w:t>
      </w:r>
      <w:r>
        <w:rPr>
          <w:rFonts w:hint="eastAsia" w:ascii="宋体" w:hAnsi="宋体" w:eastAsia="宋体" w:cs="宋体"/>
        </w:rPr>
        <w:t>盘中的泥浆经适当沉淀后即可播种，播种时做到按盘称量，</w:t>
      </w:r>
      <w:r>
        <w:rPr>
          <w:rFonts w:hint="eastAsia" w:ascii="宋体" w:hAnsi="宋体" w:eastAsia="宋体"/>
        </w:rPr>
        <w:t>匀播细播。播种后谷粒入泥较浅的需要塌谷。</w:t>
      </w:r>
    </w:p>
    <w:p>
      <w:pPr>
        <w:pStyle w:val="41"/>
        <w:spacing w:before="156" w:after="156"/>
        <w:rPr>
          <w:rFonts w:ascii="宋体" w:hAnsi="宋体" w:eastAsia="宋体" w:cs="宋体"/>
        </w:rPr>
      </w:pPr>
      <w:r>
        <w:rPr>
          <w:rFonts w:hint="eastAsia" w:ascii="宋体" w:hAnsi="宋体" w:eastAsia="宋体"/>
        </w:rPr>
        <w:t>秧田除草按</w:t>
      </w:r>
      <w:r>
        <w:rPr>
          <w:rFonts w:hint="eastAsia" w:ascii="宋体" w:hAnsi="宋体" w:eastAsia="宋体" w:cs="宋体"/>
        </w:rPr>
        <w:t>7.3.7给出的要求。</w:t>
      </w:r>
    </w:p>
    <w:p>
      <w:pPr>
        <w:pStyle w:val="42"/>
        <w:spacing w:before="156" w:after="156"/>
        <w:rPr>
          <w:rFonts w:ascii="宋体" w:hAnsi="宋体" w:cs="宋体"/>
        </w:rPr>
      </w:pPr>
      <w:r>
        <w:rPr>
          <w:rFonts w:hint="eastAsia" w:ascii="宋体" w:hAnsi="宋体" w:eastAsia="宋体" w:cs="宋体"/>
        </w:rPr>
        <w:t>盖遮阳网：秧田播种除草后搭架覆盖遮阳网。</w:t>
      </w:r>
    </w:p>
    <w:p>
      <w:pPr>
        <w:pStyle w:val="42"/>
        <w:spacing w:before="156" w:after="156"/>
        <w:rPr>
          <w:rFonts w:ascii="宋体" w:hAnsi="宋体" w:cs="宋体"/>
        </w:rPr>
      </w:pPr>
      <w:r>
        <w:rPr>
          <w:rFonts w:hint="eastAsia" w:ascii="宋体" w:hAnsi="宋体" w:cs="宋体"/>
        </w:rPr>
        <w:t>秧田管理</w:t>
      </w:r>
    </w:p>
    <w:p>
      <w:pPr>
        <w:pStyle w:val="41"/>
        <w:spacing w:before="156" w:after="156"/>
        <w:rPr>
          <w:rFonts w:ascii="宋体" w:hAnsi="宋体" w:eastAsia="宋体"/>
        </w:rPr>
      </w:pPr>
      <w:r>
        <w:rPr>
          <w:rFonts w:hint="eastAsia" w:ascii="宋体" w:hAnsi="宋体" w:eastAsia="宋体"/>
        </w:rPr>
        <w:t>揭遮阳网：秧苗一叶一心期揭去遮阳网。</w:t>
      </w:r>
    </w:p>
    <w:p>
      <w:pPr>
        <w:pStyle w:val="41"/>
        <w:spacing w:before="156" w:after="156"/>
        <w:rPr>
          <w:rFonts w:ascii="宋体" w:hAnsi="宋体" w:eastAsia="宋体"/>
        </w:rPr>
      </w:pPr>
      <w:r>
        <w:rPr>
          <w:rFonts w:hint="eastAsia" w:ascii="宋体" w:hAnsi="宋体" w:eastAsia="宋体"/>
        </w:rPr>
        <w:t>水分管理：机插秧田</w:t>
      </w:r>
      <w:r>
        <w:rPr>
          <w:rFonts w:ascii="宋体" w:hAnsi="宋体" w:eastAsia="宋体"/>
        </w:rPr>
        <w:t>以沟灌湿润为主。保持</w:t>
      </w:r>
      <w:r>
        <w:rPr>
          <w:rFonts w:hint="eastAsia" w:ascii="宋体" w:hAnsi="宋体" w:eastAsia="宋体"/>
        </w:rPr>
        <w:t>盘泥</w:t>
      </w:r>
      <w:r>
        <w:rPr>
          <w:rFonts w:ascii="宋体" w:hAnsi="宋体" w:eastAsia="宋体"/>
        </w:rPr>
        <w:t>湿润</w:t>
      </w:r>
      <w:r>
        <w:rPr>
          <w:rFonts w:hint="eastAsia" w:ascii="宋体" w:hAnsi="宋体" w:eastAsia="宋体"/>
        </w:rPr>
        <w:t>为原则，土壤干时灌“跑马水”，</w:t>
      </w:r>
      <w:r>
        <w:rPr>
          <w:rFonts w:ascii="宋体" w:hAnsi="宋体" w:eastAsia="宋体"/>
        </w:rPr>
        <w:t>移栽前</w:t>
      </w:r>
      <w:r>
        <w:rPr>
          <w:rFonts w:hint="eastAsia" w:ascii="宋体" w:hAnsi="宋体" w:eastAsia="宋体"/>
        </w:rPr>
        <w:t>1 d～3 d</w:t>
      </w:r>
      <w:r>
        <w:rPr>
          <w:rFonts w:ascii="宋体" w:hAnsi="宋体" w:eastAsia="宋体"/>
        </w:rPr>
        <w:t>排干秧沟水。</w:t>
      </w:r>
      <w:r>
        <w:rPr>
          <w:rFonts w:hint="eastAsia" w:ascii="宋体" w:hAnsi="宋体" w:eastAsia="宋体"/>
        </w:rPr>
        <w:t>手插秧田播种后晴天满沟水，阴天半沟水，雨天排干水，二叶一心后灌水上板。</w:t>
      </w:r>
    </w:p>
    <w:p>
      <w:pPr>
        <w:pStyle w:val="41"/>
        <w:spacing w:before="156" w:after="156"/>
        <w:rPr>
          <w:rFonts w:ascii="宋体" w:hAnsi="宋体" w:eastAsia="宋体"/>
        </w:rPr>
      </w:pPr>
      <w:r>
        <w:rPr>
          <w:rFonts w:hint="eastAsia" w:ascii="宋体" w:hAnsi="宋体" w:eastAsia="宋体"/>
        </w:rPr>
        <w:t>秧田追肥：手插秧苗在二叶一心期每667 m2施尿素3 kg～5 kg作断奶肥。移栽前3 d～5 d施起身肥，手插秧田每667 m2施尿素7 kg～10 kg、机插秧田每667 m2施尿素4 kg～5 kg。</w:t>
      </w:r>
    </w:p>
    <w:p>
      <w:pPr>
        <w:pStyle w:val="41"/>
        <w:spacing w:before="156" w:after="156"/>
        <w:rPr>
          <w:rFonts w:ascii="宋体" w:hAnsi="宋体" w:eastAsia="宋体"/>
        </w:rPr>
      </w:pPr>
      <w:r>
        <w:rPr>
          <w:rFonts w:hint="eastAsia" w:ascii="宋体" w:hAnsi="宋体" w:eastAsia="宋体"/>
        </w:rPr>
        <w:t>化学调控：秧苗一叶一心期喷施浓度为75 mg/㎏多效唑溶液，每 667 m2秧田喷40 kg药液，喷施时做到不漏喷、不重喷。</w:t>
      </w:r>
    </w:p>
    <w:p>
      <w:pPr>
        <w:pStyle w:val="41"/>
        <w:spacing w:before="156" w:after="156"/>
        <w:rPr>
          <w:rFonts w:ascii="宋体" w:hAnsi="宋体" w:eastAsia="宋体"/>
        </w:rPr>
      </w:pPr>
      <w:r>
        <w:rPr>
          <w:rFonts w:hint="eastAsia" w:ascii="宋体" w:hAnsi="宋体" w:eastAsia="宋体"/>
        </w:rPr>
        <w:t>病虫害防治：</w:t>
      </w:r>
      <w:r>
        <w:rPr>
          <w:rFonts w:ascii="宋体" w:hAnsi="宋体" w:eastAsia="宋体"/>
        </w:rPr>
        <w:t>根据秧</w:t>
      </w:r>
      <w:r>
        <w:rPr>
          <w:rFonts w:hint="eastAsia" w:ascii="宋体" w:hAnsi="宋体" w:eastAsia="宋体"/>
        </w:rPr>
        <w:t>田</w:t>
      </w:r>
      <w:r>
        <w:rPr>
          <w:rFonts w:ascii="宋体" w:hAnsi="宋体" w:eastAsia="宋体"/>
        </w:rPr>
        <w:t>期病虫</w:t>
      </w:r>
      <w:r>
        <w:rPr>
          <w:rFonts w:hint="eastAsia" w:ascii="宋体" w:hAnsi="宋体" w:eastAsia="宋体"/>
        </w:rPr>
        <w:t>发生</w:t>
      </w:r>
      <w:r>
        <w:rPr>
          <w:rFonts w:ascii="宋体" w:hAnsi="宋体" w:eastAsia="宋体"/>
        </w:rPr>
        <w:t>情况及时选用对口农药防治。</w:t>
      </w:r>
      <w:r>
        <w:rPr>
          <w:rFonts w:hint="eastAsia" w:ascii="宋体" w:hAnsi="宋体" w:eastAsia="宋体"/>
        </w:rPr>
        <w:t>主要防治稻蓟马、灰飞虱等，做到带药下田。农药使用应符合</w:t>
      </w:r>
      <w:r>
        <w:fldChar w:fldCharType="begin"/>
      </w:r>
      <w:r>
        <w:instrText xml:space="preserve"> HYPERLINK "http://www.jxisi.com.cn/Standard/Search/StdInfo.aspx?ca=PfiQNa4u/cM=" \t "_blank" </w:instrText>
      </w:r>
      <w:r>
        <w:fldChar w:fldCharType="separate"/>
      </w:r>
      <w:r>
        <w:rPr>
          <w:rStyle w:val="29"/>
          <w:rFonts w:ascii="宋体" w:hAnsi="宋体"/>
          <w:b w:val="0"/>
          <w:bCs w:val="0"/>
        </w:rPr>
        <w:t>NY/T 1276-2007</w:t>
      </w:r>
      <w:r>
        <w:rPr>
          <w:rStyle w:val="29"/>
          <w:rFonts w:ascii="宋体" w:hAnsi="宋体"/>
          <w:b w:val="0"/>
          <w:bCs w:val="0"/>
        </w:rPr>
        <w:fldChar w:fldCharType="end"/>
      </w:r>
      <w:r>
        <w:rPr>
          <w:rFonts w:hint="eastAsia" w:ascii="宋体" w:hAnsi="宋体" w:eastAsia="宋体"/>
        </w:rPr>
        <w:t>和</w:t>
      </w:r>
      <w:r>
        <w:rPr>
          <w:rFonts w:ascii="宋体" w:hAnsi="宋体" w:eastAsia="宋体"/>
        </w:rPr>
        <w:t>GB/T 8321</w:t>
      </w:r>
      <w:r>
        <w:rPr>
          <w:rFonts w:hint="eastAsia" w:ascii="宋体" w:hAnsi="宋体" w:eastAsia="宋体"/>
        </w:rPr>
        <w:t>的规定。</w:t>
      </w:r>
    </w:p>
    <w:p>
      <w:pPr>
        <w:pStyle w:val="58"/>
        <w:spacing w:before="312" w:after="312"/>
      </w:pPr>
      <w:r>
        <w:rPr>
          <w:rFonts w:hint="eastAsia"/>
        </w:rPr>
        <w:t>移栽技术</w:t>
      </w:r>
    </w:p>
    <w:p>
      <w:pPr>
        <w:pStyle w:val="42"/>
        <w:spacing w:before="156" w:after="156"/>
      </w:pPr>
      <w:r>
        <w:rPr>
          <w:rFonts w:hint="eastAsia"/>
        </w:rPr>
        <w:t>栽前准备</w:t>
      </w:r>
    </w:p>
    <w:p>
      <w:pPr>
        <w:pStyle w:val="41"/>
        <w:spacing w:before="156" w:after="156"/>
        <w:rPr>
          <w:rFonts w:ascii="宋体" w:hAnsi="宋体" w:eastAsia="宋体" w:cs="宋体"/>
        </w:rPr>
      </w:pPr>
      <w:r>
        <w:rPr>
          <w:rFonts w:hint="eastAsia" w:ascii="宋体" w:hAnsi="宋体" w:eastAsia="宋体" w:cs="宋体"/>
        </w:rPr>
        <w:t>大田准备应在插种前三天平整好田块，要求田块平整，田面整洁；表土软硬度适中，上细下粗，上烂下实；泥浆沉实达到泥水分清，沉淀不板结，水清不浑浊。耕耙后沙质土沉实1 d，壤土沉实1 d～2 d，粘土沉实3 d～4 d。</w:t>
      </w:r>
    </w:p>
    <w:p>
      <w:pPr>
        <w:pStyle w:val="41"/>
        <w:spacing w:before="156" w:after="156"/>
        <w:rPr>
          <w:rFonts w:ascii="宋体" w:hAnsi="宋体" w:eastAsia="宋体" w:cs="宋体"/>
        </w:rPr>
      </w:pPr>
      <w:r>
        <w:rPr>
          <w:rFonts w:hint="eastAsia" w:ascii="宋体" w:hAnsi="宋体" w:eastAsia="宋体" w:cs="宋体"/>
        </w:rPr>
        <w:t>施好基肥：结合耕耙施好基肥，一般每</w:t>
      </w:r>
      <w:r>
        <w:rPr>
          <w:rFonts w:hint="eastAsia" w:ascii="宋体" w:hAnsi="宋体" w:eastAsia="宋体"/>
        </w:rPr>
        <w:t>667 m</w:t>
      </w:r>
      <w:r>
        <w:rPr>
          <w:rFonts w:hint="eastAsia" w:ascii="宋体" w:hAnsi="宋体" w:eastAsia="宋体"/>
          <w:vertAlign w:val="superscript"/>
        </w:rPr>
        <w:t>2</w:t>
      </w:r>
      <w:r>
        <w:rPr>
          <w:rFonts w:hint="eastAsia" w:ascii="宋体" w:hAnsi="宋体" w:eastAsia="宋体" w:cs="宋体"/>
        </w:rPr>
        <w:t>施配方肥（23-12-5）25 kg。</w:t>
      </w:r>
    </w:p>
    <w:p>
      <w:pPr>
        <w:pStyle w:val="42"/>
        <w:spacing w:before="156" w:after="156"/>
        <w:rPr>
          <w:rFonts w:ascii="宋体" w:hAnsi="宋体" w:cs="宋体"/>
        </w:rPr>
      </w:pPr>
      <w:r>
        <w:rPr>
          <w:rFonts w:hint="eastAsia" w:ascii="宋体" w:hAnsi="宋体" w:cs="宋体"/>
        </w:rPr>
        <w:t>机插秧苗准备</w:t>
      </w:r>
    </w:p>
    <w:p>
      <w:pPr>
        <w:pStyle w:val="41"/>
        <w:spacing w:before="156" w:after="156"/>
        <w:rPr>
          <w:rFonts w:ascii="宋体" w:hAnsi="宋体" w:eastAsia="宋体" w:cs="宋体"/>
        </w:rPr>
      </w:pPr>
      <w:r>
        <w:rPr>
          <w:rFonts w:hint="eastAsia" w:ascii="宋体" w:hAnsi="宋体" w:eastAsia="宋体" w:cs="宋体"/>
        </w:rPr>
        <w:t>运秧：起秧后将秧盘放入适宜的运输工具，切忌堆压，做到随起、随运、随栽。</w:t>
      </w:r>
    </w:p>
    <w:p>
      <w:pPr>
        <w:pStyle w:val="42"/>
        <w:spacing w:before="156" w:after="156"/>
        <w:rPr>
          <w:rFonts w:ascii="宋体" w:hAnsi="宋体" w:cs="宋体"/>
        </w:rPr>
      </w:pPr>
      <w:r>
        <w:rPr>
          <w:rFonts w:hint="eastAsia" w:ascii="宋体" w:hAnsi="宋体" w:cs="宋体"/>
        </w:rPr>
        <w:t>机插移栽</w:t>
      </w:r>
    </w:p>
    <w:p>
      <w:pPr>
        <w:pStyle w:val="41"/>
        <w:spacing w:before="156" w:after="156"/>
        <w:rPr>
          <w:rFonts w:ascii="宋体" w:hAnsi="宋体" w:eastAsia="宋体" w:cs="仿宋_GB2312"/>
        </w:rPr>
      </w:pPr>
      <w:r>
        <w:rPr>
          <w:rFonts w:hint="eastAsia" w:ascii="宋体" w:hAnsi="宋体" w:eastAsia="宋体" w:cs="仿宋_GB2312"/>
        </w:rPr>
        <w:t>插秧深度：</w:t>
      </w:r>
      <w:r>
        <w:rPr>
          <w:rFonts w:ascii="宋体" w:hAnsi="宋体" w:eastAsia="宋体" w:cs="仿宋_GB2312"/>
        </w:rPr>
        <w:t>机插深度宜浅，</w:t>
      </w:r>
      <w:r>
        <w:rPr>
          <w:rFonts w:hint="eastAsia" w:ascii="宋体" w:hAnsi="宋体" w:eastAsia="宋体" w:cs="仿宋_GB2312"/>
        </w:rPr>
        <w:t>一般控制在1.5 cm～2.5 cm，插种时田面保持薄皮水。</w:t>
      </w:r>
    </w:p>
    <w:p>
      <w:pPr>
        <w:pStyle w:val="41"/>
        <w:spacing w:before="156" w:after="156"/>
        <w:rPr>
          <w:rFonts w:ascii="宋体" w:hAnsi="宋体" w:eastAsia="宋体" w:cs="仿宋_GB2312"/>
        </w:rPr>
      </w:pPr>
      <w:r>
        <w:rPr>
          <w:rFonts w:hint="eastAsia" w:ascii="宋体" w:hAnsi="宋体" w:eastAsia="宋体" w:cs="仿宋_GB2312"/>
        </w:rPr>
        <w:t>密植规格宜每667 m2插1万丛左右，每丛插1本～3本。</w:t>
      </w:r>
    </w:p>
    <w:p>
      <w:pPr>
        <w:pStyle w:val="41"/>
        <w:spacing w:before="156" w:after="156"/>
        <w:rPr>
          <w:rFonts w:ascii="宋体" w:hAnsi="宋体" w:eastAsia="宋体" w:cs="仿宋_GB2312"/>
        </w:rPr>
      </w:pPr>
      <w:r>
        <w:rPr>
          <w:rFonts w:hint="eastAsia" w:ascii="宋体" w:hAnsi="宋体" w:eastAsia="宋体" w:cs="仿宋_GB2312"/>
        </w:rPr>
        <w:t>移栽时间：短秧龄移栽，秧龄控制在15 d～20 d。</w:t>
      </w:r>
    </w:p>
    <w:p>
      <w:pPr>
        <w:pStyle w:val="41"/>
        <w:spacing w:before="156" w:after="156"/>
        <w:rPr>
          <w:rFonts w:ascii="宋体" w:hAnsi="宋体" w:eastAsia="宋体" w:cs="仿宋_GB2312"/>
        </w:rPr>
      </w:pPr>
      <w:r>
        <w:rPr>
          <w:rFonts w:hint="eastAsia" w:ascii="宋体" w:hAnsi="宋体" w:eastAsia="宋体" w:cs="仿宋_GB2312"/>
        </w:rPr>
        <w:t>插后灌水：插种后要及时灌水，深度以不淹没心叶为宜，插种后开好“平水缺”。</w:t>
      </w:r>
    </w:p>
    <w:p>
      <w:pPr>
        <w:pStyle w:val="41"/>
        <w:spacing w:before="156" w:after="156"/>
        <w:rPr>
          <w:rFonts w:ascii="宋体" w:hAnsi="宋体" w:eastAsia="宋体" w:cs="仿宋_GB2312"/>
        </w:rPr>
      </w:pPr>
      <w:r>
        <w:rPr>
          <w:rFonts w:hint="eastAsia" w:ascii="宋体" w:hAnsi="宋体" w:eastAsia="宋体" w:cs="仿宋_GB2312"/>
        </w:rPr>
        <w:t>查苗补缺：当出现较长断垄或大空洞时需人工补缺。</w:t>
      </w:r>
    </w:p>
    <w:p>
      <w:pPr>
        <w:pStyle w:val="42"/>
        <w:spacing w:before="156" w:after="156"/>
        <w:rPr>
          <w:rFonts w:ascii="宋体" w:hAnsi="宋体" w:cs="仿宋_GB2312"/>
        </w:rPr>
      </w:pPr>
      <w:r>
        <w:rPr>
          <w:rFonts w:hint="eastAsia" w:ascii="宋体" w:hAnsi="宋体" w:cs="仿宋_GB2312"/>
        </w:rPr>
        <w:t>手插移栽</w:t>
      </w:r>
    </w:p>
    <w:p>
      <w:pPr>
        <w:pStyle w:val="41"/>
        <w:spacing w:before="156" w:after="156"/>
        <w:rPr>
          <w:rFonts w:ascii="宋体" w:hAnsi="宋体" w:eastAsia="宋体"/>
        </w:rPr>
      </w:pPr>
      <w:r>
        <w:rPr>
          <w:rFonts w:hint="eastAsia" w:ascii="宋体" w:hAnsi="宋体" w:eastAsia="宋体"/>
        </w:rPr>
        <w:t>密植规格宜30 cm×（25 ～30）cm,每丛插1本。</w:t>
      </w:r>
    </w:p>
    <w:p>
      <w:pPr>
        <w:pStyle w:val="41"/>
        <w:spacing w:before="156" w:after="156"/>
        <w:rPr>
          <w:rFonts w:ascii="宋体" w:hAnsi="宋体" w:eastAsia="宋体"/>
        </w:rPr>
      </w:pPr>
      <w:r>
        <w:rPr>
          <w:rFonts w:hint="eastAsia" w:ascii="宋体" w:hAnsi="宋体" w:eastAsia="宋体"/>
        </w:rPr>
        <w:t>移栽时间：短秧龄移栽，秧</w:t>
      </w:r>
      <w:r>
        <w:rPr>
          <w:rFonts w:hint="eastAsia" w:ascii="宋体" w:hAnsi="宋体" w:eastAsia="宋体" w:cs="宋体"/>
        </w:rPr>
        <w:t>龄</w:t>
      </w:r>
      <w:r>
        <w:rPr>
          <w:rFonts w:hint="eastAsia" w:ascii="宋体" w:hAnsi="宋体" w:eastAsia="宋体"/>
        </w:rPr>
        <w:t>控制在20 d～25 d。</w:t>
      </w:r>
    </w:p>
    <w:p>
      <w:pPr>
        <w:pStyle w:val="58"/>
        <w:spacing w:before="312" w:after="312"/>
      </w:pPr>
      <w:r>
        <w:rPr>
          <w:rFonts w:hint="eastAsia"/>
        </w:rPr>
        <w:t>大田管理</w:t>
      </w:r>
    </w:p>
    <w:p>
      <w:pPr>
        <w:pStyle w:val="42"/>
        <w:spacing w:before="156" w:after="156"/>
      </w:pPr>
      <w:r>
        <w:rPr>
          <w:rFonts w:hint="eastAsia"/>
        </w:rPr>
        <w:t>水浆管理</w:t>
      </w:r>
    </w:p>
    <w:p>
      <w:pPr>
        <w:pStyle w:val="41"/>
        <w:spacing w:before="156" w:after="156"/>
        <w:rPr>
          <w:rFonts w:ascii="宋体" w:hAnsi="宋体" w:eastAsia="宋体"/>
        </w:rPr>
      </w:pPr>
      <w:r>
        <w:rPr>
          <w:rFonts w:hint="eastAsia" w:ascii="宋体" w:hAnsi="宋体" w:eastAsia="宋体"/>
        </w:rPr>
        <w:t>返青期应栽后浅水护苗，第一新叶抽出后，适当露田。</w:t>
      </w:r>
    </w:p>
    <w:p>
      <w:pPr>
        <w:pStyle w:val="41"/>
        <w:spacing w:before="156" w:after="156"/>
        <w:rPr>
          <w:rFonts w:ascii="宋体" w:hAnsi="宋体" w:eastAsia="宋体"/>
        </w:rPr>
      </w:pPr>
      <w:r>
        <w:rPr>
          <w:rFonts w:ascii="宋体" w:hAnsi="宋体" w:eastAsia="宋体"/>
        </w:rPr>
        <w:t>分蘖期</w:t>
      </w:r>
      <w:r>
        <w:rPr>
          <w:rFonts w:hint="eastAsia" w:ascii="宋体" w:hAnsi="宋体" w:eastAsia="宋体"/>
        </w:rPr>
        <w:t>应</w:t>
      </w:r>
      <w:r>
        <w:rPr>
          <w:rFonts w:ascii="宋体" w:hAnsi="宋体" w:eastAsia="宋体"/>
        </w:rPr>
        <w:t>浅水</w:t>
      </w:r>
      <w:r>
        <w:rPr>
          <w:rFonts w:hint="eastAsia" w:ascii="宋体" w:hAnsi="宋体" w:eastAsia="宋体"/>
        </w:rPr>
        <w:t>促</w:t>
      </w:r>
      <w:r>
        <w:rPr>
          <w:rFonts w:ascii="宋体" w:hAnsi="宋体" w:eastAsia="宋体"/>
        </w:rPr>
        <w:t>蘖，并</w:t>
      </w:r>
      <w:r>
        <w:rPr>
          <w:rFonts w:hint="eastAsia" w:ascii="宋体" w:hAnsi="宋体" w:eastAsia="宋体"/>
        </w:rPr>
        <w:t>做到经常</w:t>
      </w:r>
      <w:r>
        <w:rPr>
          <w:rFonts w:ascii="宋体" w:hAnsi="宋体" w:eastAsia="宋体"/>
        </w:rPr>
        <w:t>露田。当全田苗数达到</w:t>
      </w:r>
      <w:r>
        <w:rPr>
          <w:rFonts w:hint="eastAsia" w:ascii="宋体" w:hAnsi="宋体" w:eastAsia="宋体"/>
        </w:rPr>
        <w:t>目标</w:t>
      </w:r>
      <w:r>
        <w:rPr>
          <w:rFonts w:ascii="宋体" w:hAnsi="宋体" w:eastAsia="宋体"/>
        </w:rPr>
        <w:t>穗数</w:t>
      </w:r>
      <w:r>
        <w:rPr>
          <w:rFonts w:hint="eastAsia" w:ascii="宋体" w:hAnsi="宋体" w:eastAsia="宋体"/>
        </w:rPr>
        <w:t>80%时及时搁田，搁田要分次进行，由轻到重，结合搁田分次挖深丰产沟。</w:t>
      </w:r>
    </w:p>
    <w:p>
      <w:pPr>
        <w:pStyle w:val="41"/>
        <w:spacing w:before="156" w:after="156"/>
        <w:rPr>
          <w:rFonts w:ascii="宋体" w:hAnsi="宋体" w:eastAsia="宋体"/>
        </w:rPr>
      </w:pPr>
      <w:r>
        <w:rPr>
          <w:rFonts w:ascii="宋体" w:hAnsi="宋体" w:eastAsia="宋体"/>
        </w:rPr>
        <w:t>幼穗分化期和抽穗扬花期</w:t>
      </w:r>
      <w:r>
        <w:rPr>
          <w:rFonts w:hint="eastAsia" w:ascii="宋体" w:hAnsi="宋体" w:eastAsia="宋体"/>
        </w:rPr>
        <w:t>应</w:t>
      </w:r>
      <w:r>
        <w:rPr>
          <w:rFonts w:ascii="宋体" w:hAnsi="宋体" w:eastAsia="宋体"/>
        </w:rPr>
        <w:t>灌一次浅水，自然落干后立即复水</w:t>
      </w:r>
      <w:r>
        <w:rPr>
          <w:rFonts w:hint="eastAsia" w:ascii="宋体" w:hAnsi="宋体" w:eastAsia="宋体"/>
        </w:rPr>
        <w:t>，重复交替。</w:t>
      </w:r>
    </w:p>
    <w:p>
      <w:pPr>
        <w:pStyle w:val="41"/>
        <w:spacing w:before="156" w:after="156"/>
        <w:rPr>
          <w:rFonts w:ascii="宋体" w:hAnsi="宋体" w:eastAsia="宋体"/>
        </w:rPr>
      </w:pPr>
      <w:r>
        <w:rPr>
          <w:rFonts w:ascii="宋体" w:hAnsi="宋体" w:eastAsia="宋体"/>
        </w:rPr>
        <w:t>灌浆结实期</w:t>
      </w:r>
      <w:r>
        <w:rPr>
          <w:rFonts w:hint="eastAsia" w:ascii="宋体" w:hAnsi="宋体" w:eastAsia="宋体"/>
        </w:rPr>
        <w:t>应采用干干湿湿、间歇灌溉的方法。3 d～7 d</w:t>
      </w:r>
      <w:r>
        <w:rPr>
          <w:rFonts w:ascii="宋体" w:hAnsi="宋体" w:eastAsia="宋体"/>
        </w:rPr>
        <w:t>灌一次浅水，自然落干至田面硬实，再复水，</w:t>
      </w:r>
      <w:r>
        <w:rPr>
          <w:rFonts w:hint="eastAsia" w:ascii="宋体" w:hAnsi="宋体" w:eastAsia="宋体"/>
        </w:rPr>
        <w:t>做到干湿交替</w:t>
      </w:r>
      <w:r>
        <w:rPr>
          <w:rFonts w:ascii="宋体" w:hAnsi="宋体" w:eastAsia="宋体"/>
        </w:rPr>
        <w:t>，</w:t>
      </w:r>
      <w:r>
        <w:rPr>
          <w:rFonts w:hint="eastAsia" w:ascii="宋体" w:hAnsi="宋体" w:eastAsia="宋体"/>
        </w:rPr>
        <w:t>以田面湿润为主。蜡熟期以后灌水宜采用灌“跑马水”的方法，断水时间以不影响机械收割为度。</w:t>
      </w:r>
    </w:p>
    <w:p>
      <w:pPr>
        <w:pStyle w:val="42"/>
        <w:spacing w:before="156" w:after="156"/>
      </w:pPr>
      <w:r>
        <w:rPr>
          <w:rFonts w:hint="eastAsia"/>
        </w:rPr>
        <w:t>施肥</w:t>
      </w:r>
    </w:p>
    <w:p>
      <w:pPr>
        <w:pStyle w:val="41"/>
        <w:spacing w:before="156" w:after="156"/>
        <w:rPr>
          <w:rFonts w:ascii="宋体" w:hAnsi="宋体" w:eastAsia="宋体"/>
        </w:rPr>
      </w:pPr>
      <w:r>
        <w:rPr>
          <w:rFonts w:hint="eastAsia" w:ascii="宋体" w:hAnsi="宋体" w:eastAsia="宋体"/>
        </w:rPr>
        <w:t>肥料使用应符合</w:t>
      </w:r>
      <w:r>
        <w:rPr>
          <w:rFonts w:ascii="宋体" w:hAnsi="宋体"/>
        </w:rPr>
        <w:t>NY/T 496</w:t>
      </w:r>
      <w:r>
        <w:rPr>
          <w:rFonts w:hint="eastAsia" w:ascii="宋体" w:hAnsi="宋体"/>
        </w:rPr>
        <w:t>-2010</w:t>
      </w:r>
      <w:r>
        <w:rPr>
          <w:rFonts w:hint="eastAsia" w:ascii="宋体" w:hAnsi="宋体" w:eastAsia="宋体" w:cs="宋体"/>
        </w:rPr>
        <w:t>《肥料合理使用准则 通则》的规定</w:t>
      </w:r>
    </w:p>
    <w:p>
      <w:pPr>
        <w:pStyle w:val="41"/>
        <w:spacing w:before="156" w:after="156"/>
        <w:rPr>
          <w:rFonts w:ascii="宋体" w:hAnsi="宋体" w:eastAsia="宋体"/>
        </w:rPr>
      </w:pPr>
      <w:r>
        <w:rPr>
          <w:rFonts w:hint="eastAsia" w:ascii="宋体" w:hAnsi="宋体" w:eastAsia="宋体"/>
        </w:rPr>
        <w:t>肥料总量：目标</w:t>
      </w:r>
      <w:r>
        <w:rPr>
          <w:rFonts w:ascii="宋体" w:hAnsi="宋体" w:eastAsia="宋体"/>
        </w:rPr>
        <w:t>产</w:t>
      </w:r>
      <w:r>
        <w:rPr>
          <w:rFonts w:hint="eastAsia" w:ascii="宋体" w:hAnsi="宋体" w:eastAsia="宋体"/>
        </w:rPr>
        <w:t>量每</w:t>
      </w:r>
      <w:r>
        <w:rPr>
          <w:rFonts w:ascii="宋体" w:hAnsi="宋体" w:eastAsia="宋体"/>
        </w:rPr>
        <w:t>667</w:t>
      </w:r>
      <w:r>
        <w:rPr>
          <w:rFonts w:hint="eastAsia" w:ascii="宋体" w:hAnsi="宋体" w:eastAsia="宋体"/>
        </w:rPr>
        <w:t xml:space="preserve"> </w:t>
      </w:r>
      <w:r>
        <w:rPr>
          <w:rFonts w:ascii="宋体" w:hAnsi="宋体" w:eastAsia="宋体"/>
        </w:rPr>
        <w:t>m</w:t>
      </w:r>
      <w:r>
        <w:rPr>
          <w:rFonts w:hint="eastAsia" w:ascii="宋体" w:hAnsi="宋体" w:eastAsia="宋体"/>
        </w:rPr>
        <w:t>2在750 kg</w:t>
      </w:r>
      <w:r>
        <w:rPr>
          <w:rFonts w:ascii="宋体" w:hAnsi="宋体" w:eastAsia="宋体"/>
        </w:rPr>
        <w:t>的田块，</w:t>
      </w:r>
      <w:r>
        <w:rPr>
          <w:rFonts w:hint="eastAsia" w:ascii="宋体" w:hAnsi="宋体" w:eastAsia="宋体"/>
        </w:rPr>
        <w:t>总用肥量</w:t>
      </w:r>
      <w:r>
        <w:rPr>
          <w:rFonts w:ascii="宋体" w:hAnsi="宋体" w:eastAsia="宋体"/>
        </w:rPr>
        <w:t>每667</w:t>
      </w:r>
      <w:r>
        <w:rPr>
          <w:rFonts w:hint="eastAsia" w:ascii="宋体" w:hAnsi="宋体" w:eastAsia="宋体"/>
        </w:rPr>
        <w:t xml:space="preserve"> </w:t>
      </w:r>
      <w:r>
        <w:rPr>
          <w:rFonts w:ascii="宋体" w:hAnsi="宋体" w:eastAsia="宋体"/>
        </w:rPr>
        <w:t>m</w:t>
      </w:r>
      <w:r>
        <w:rPr>
          <w:rFonts w:hint="eastAsia" w:ascii="宋体" w:hAnsi="宋体" w:eastAsia="宋体"/>
        </w:rPr>
        <w:t>2需施纯</w:t>
      </w:r>
      <w:r>
        <w:rPr>
          <w:rFonts w:ascii="宋体" w:hAnsi="宋体" w:eastAsia="宋体"/>
        </w:rPr>
        <w:t>氮</w:t>
      </w:r>
      <w:r>
        <w:rPr>
          <w:rFonts w:hint="eastAsia" w:ascii="宋体" w:hAnsi="宋体" w:eastAsia="宋体"/>
        </w:rPr>
        <w:t>15 kg～</w:t>
      </w:r>
      <w:r>
        <w:rPr>
          <w:rFonts w:ascii="宋体" w:hAnsi="宋体" w:eastAsia="宋体"/>
        </w:rPr>
        <w:t>1</w:t>
      </w:r>
      <w:r>
        <w:rPr>
          <w:rFonts w:hint="eastAsia" w:ascii="宋体" w:hAnsi="宋体" w:eastAsia="宋体"/>
        </w:rPr>
        <w:t>7 kg，</w:t>
      </w:r>
      <w:r>
        <w:rPr>
          <w:rFonts w:ascii="宋体" w:hAnsi="宋体" w:eastAsia="宋体"/>
        </w:rPr>
        <w:t>氮</w:t>
      </w:r>
      <w:r>
        <w:rPr>
          <w:rFonts w:hint="eastAsia" w:ascii="宋体" w:hAnsi="宋体" w:eastAsia="宋体"/>
        </w:rPr>
        <w:t>：</w:t>
      </w:r>
      <w:r>
        <w:rPr>
          <w:rFonts w:ascii="宋体" w:hAnsi="宋体" w:eastAsia="宋体"/>
        </w:rPr>
        <w:t>磷</w:t>
      </w:r>
      <w:r>
        <w:rPr>
          <w:rFonts w:hint="eastAsia" w:ascii="宋体" w:hAnsi="宋体" w:eastAsia="宋体"/>
        </w:rPr>
        <w:t>：</w:t>
      </w:r>
      <w:r>
        <w:rPr>
          <w:rFonts w:ascii="宋体" w:hAnsi="宋体" w:eastAsia="宋体"/>
        </w:rPr>
        <w:t>钾</w:t>
      </w:r>
      <w:r>
        <w:rPr>
          <w:rFonts w:hint="eastAsia" w:ascii="宋体" w:hAnsi="宋体" w:eastAsia="宋体"/>
        </w:rPr>
        <w:t>比例为1：0.3：1，基肥：苗肥：穗肥比例为2.5:4.5:3。</w:t>
      </w:r>
    </w:p>
    <w:p>
      <w:pPr>
        <w:pStyle w:val="41"/>
        <w:spacing w:before="156" w:after="156"/>
        <w:rPr>
          <w:rFonts w:ascii="宋体" w:hAnsi="宋体" w:eastAsia="宋体"/>
        </w:rPr>
      </w:pPr>
      <w:r>
        <w:rPr>
          <w:rFonts w:hint="eastAsia" w:ascii="宋体" w:hAnsi="宋体" w:eastAsia="宋体"/>
        </w:rPr>
        <w:t>苗肥应移栽还苗后施用，手插栽培栽</w:t>
      </w:r>
      <w:r>
        <w:rPr>
          <w:rFonts w:ascii="宋体" w:hAnsi="宋体" w:eastAsia="宋体"/>
        </w:rPr>
        <w:t>后</w:t>
      </w:r>
      <w:r>
        <w:rPr>
          <w:rFonts w:hint="eastAsia" w:ascii="宋体" w:hAnsi="宋体" w:eastAsia="宋体"/>
        </w:rPr>
        <w:t>3 d～5 d</w:t>
      </w:r>
      <w:r>
        <w:rPr>
          <w:rFonts w:ascii="宋体" w:hAnsi="宋体" w:eastAsia="宋体"/>
        </w:rPr>
        <w:t>，</w:t>
      </w:r>
      <w:r>
        <w:rPr>
          <w:rFonts w:hint="eastAsia" w:ascii="宋体" w:hAnsi="宋体" w:eastAsia="宋体"/>
        </w:rPr>
        <w:t>机插栽培栽后5 d～7 d，每667 m2施尿素5 kg；间隔5 d～7 d每667 m2施配方肥（20-0-22）10 kg～15 kg。</w:t>
      </w:r>
    </w:p>
    <w:p>
      <w:pPr>
        <w:pStyle w:val="41"/>
        <w:spacing w:before="156" w:after="156"/>
        <w:rPr>
          <w:rFonts w:ascii="宋体" w:hAnsi="宋体" w:eastAsia="宋体"/>
        </w:rPr>
      </w:pPr>
      <w:r>
        <w:rPr>
          <w:rFonts w:hint="eastAsia" w:ascii="宋体" w:hAnsi="宋体" w:eastAsia="宋体"/>
        </w:rPr>
        <w:t>穗肥宜倒4叶露尖时，每667m2施配方肥（20-0-22）10 kg～15 kg；倒2叶露尖时，每667 m2施配方肥（20-0-22）10 kg～15 kg。</w:t>
      </w:r>
    </w:p>
    <w:p>
      <w:pPr>
        <w:pStyle w:val="41"/>
        <w:spacing w:before="156" w:after="156"/>
        <w:rPr>
          <w:rFonts w:ascii="宋体" w:hAnsi="宋体" w:eastAsia="宋体"/>
        </w:rPr>
      </w:pPr>
      <w:r>
        <w:rPr>
          <w:rFonts w:hint="eastAsia" w:ascii="宋体" w:hAnsi="宋体" w:eastAsia="宋体"/>
        </w:rPr>
        <w:t>粒肥：齐穗后有落黄趋势地块，每667 m</w:t>
      </w:r>
      <w:r>
        <w:rPr>
          <w:rFonts w:hint="eastAsia" w:ascii="宋体" w:hAnsi="宋体" w:eastAsia="宋体"/>
          <w:vertAlign w:val="superscript"/>
        </w:rPr>
        <w:t>2</w:t>
      </w:r>
      <w:r>
        <w:rPr>
          <w:rFonts w:hint="eastAsia" w:ascii="宋体" w:hAnsi="宋体" w:eastAsia="宋体"/>
        </w:rPr>
        <w:t>用</w:t>
      </w:r>
      <w:r>
        <w:rPr>
          <w:rFonts w:ascii="宋体" w:hAnsi="宋体" w:eastAsia="宋体"/>
        </w:rPr>
        <w:t>0.</w:t>
      </w:r>
      <w:r>
        <w:rPr>
          <w:rFonts w:hint="eastAsia" w:ascii="宋体" w:hAnsi="宋体" w:eastAsia="宋体"/>
        </w:rPr>
        <w:t>3</w:t>
      </w:r>
      <w:r>
        <w:rPr>
          <w:rFonts w:ascii="宋体" w:hAnsi="宋体" w:eastAsia="宋体"/>
        </w:rPr>
        <w:t>%</w:t>
      </w:r>
      <w:r>
        <w:rPr>
          <w:rFonts w:hint="eastAsia" w:ascii="宋体" w:hAnsi="宋体" w:eastAsia="宋体"/>
        </w:rPr>
        <w:t>磷酸二氢钾液或</w:t>
      </w:r>
      <w:r>
        <w:rPr>
          <w:rFonts w:ascii="宋体" w:hAnsi="宋体" w:eastAsia="宋体"/>
        </w:rPr>
        <w:t>0.</w:t>
      </w:r>
      <w:r>
        <w:rPr>
          <w:rFonts w:hint="eastAsia" w:ascii="宋体" w:hAnsi="宋体" w:eastAsia="宋体"/>
        </w:rPr>
        <w:t>5%～1</w:t>
      </w:r>
      <w:r>
        <w:rPr>
          <w:rFonts w:ascii="宋体" w:hAnsi="宋体" w:eastAsia="宋体"/>
        </w:rPr>
        <w:t>%</w:t>
      </w:r>
      <w:r>
        <w:rPr>
          <w:rFonts w:hint="eastAsia" w:ascii="宋体" w:hAnsi="宋体" w:eastAsia="宋体"/>
        </w:rPr>
        <w:t>尿素液根外追肥。</w:t>
      </w:r>
    </w:p>
    <w:p>
      <w:pPr>
        <w:pStyle w:val="42"/>
        <w:spacing w:before="156" w:after="156"/>
      </w:pPr>
      <w:r>
        <w:rPr>
          <w:rFonts w:hint="eastAsia"/>
        </w:rPr>
        <w:t>病虫草害防治</w:t>
      </w:r>
    </w:p>
    <w:p>
      <w:pPr>
        <w:pStyle w:val="20"/>
      </w:pPr>
      <w:r>
        <w:rPr>
          <w:rFonts w:hint="eastAsia"/>
        </w:rPr>
        <w:t>坚持</w:t>
      </w:r>
      <w:r>
        <w:rPr>
          <w:rFonts w:hint="eastAsia" w:hAnsi="宋体"/>
          <w:szCs w:val="21"/>
        </w:rPr>
        <w:t>“预防为主，综合防治”的植保方针，加强病虫害的预测预报，根据</w:t>
      </w:r>
      <w:r>
        <w:fldChar w:fldCharType="begin"/>
      </w:r>
      <w:r>
        <w:instrText xml:space="preserve"> HYPERLINK "http://www.jxisi.com.cn/Standard/Search/StdInfo.aspx?ca=PfiQNa4u/cM=" \t "_blank" </w:instrText>
      </w:r>
      <w:r>
        <w:fldChar w:fldCharType="separate"/>
      </w:r>
      <w:r>
        <w:rPr>
          <w:rStyle w:val="29"/>
          <w:rFonts w:hAnsi="宋体"/>
          <w:b w:val="0"/>
          <w:bCs w:val="0"/>
        </w:rPr>
        <w:t>NY/T 1276-2007</w:t>
      </w:r>
      <w:r>
        <w:rPr>
          <w:rStyle w:val="29"/>
          <w:rFonts w:hAnsi="宋体"/>
          <w:b w:val="0"/>
          <w:bCs w:val="0"/>
        </w:rPr>
        <w:fldChar w:fldCharType="end"/>
      </w:r>
      <w:r>
        <w:rPr>
          <w:rFonts w:hint="eastAsia" w:hAnsi="宋体"/>
        </w:rPr>
        <w:t>和</w:t>
      </w:r>
      <w:r>
        <w:rPr>
          <w:rFonts w:hAnsi="宋体"/>
        </w:rPr>
        <w:t>GB/T 8321</w:t>
      </w:r>
      <w:r>
        <w:rPr>
          <w:rFonts w:hint="eastAsia" w:hAnsi="宋体"/>
        </w:rPr>
        <w:t>标准</w:t>
      </w:r>
      <w:r>
        <w:rPr>
          <w:rFonts w:hint="eastAsia" w:hAnsi="宋体"/>
          <w:szCs w:val="21"/>
        </w:rPr>
        <w:t>选用对口农药，及时做好水稻各个时期病虫草害防治。</w:t>
      </w:r>
    </w:p>
    <w:p>
      <w:pPr>
        <w:pStyle w:val="41"/>
        <w:spacing w:before="156" w:after="156"/>
        <w:rPr>
          <w:rFonts w:ascii="宋体" w:hAnsi="宋体" w:eastAsia="宋体"/>
        </w:rPr>
      </w:pPr>
      <w:r>
        <w:rPr>
          <w:rFonts w:hint="eastAsia" w:ascii="宋体" w:hAnsi="宋体"/>
        </w:rPr>
        <w:t xml:space="preserve">化学除草  </w:t>
      </w:r>
    </w:p>
    <w:p>
      <w:pPr>
        <w:pStyle w:val="41"/>
        <w:numPr>
          <w:ilvl w:val="0"/>
          <w:numId w:val="0"/>
        </w:numPr>
        <w:spacing w:before="156" w:after="156"/>
        <w:ind w:firstLine="420" w:firstLineChars="200"/>
        <w:rPr>
          <w:rFonts w:ascii="宋体" w:hAnsi="宋体" w:eastAsia="宋体"/>
        </w:rPr>
      </w:pPr>
      <w:r>
        <w:rPr>
          <w:rFonts w:hint="eastAsia" w:ascii="宋体" w:hAnsi="宋体" w:eastAsia="宋体"/>
        </w:rPr>
        <w:t>插种后结合第一次施肥，选用苯噻酰•苄、丁•苄或吡嘧磺隆等除草剂拌尿素撤施。对前期失除或除草效果不理想的田块，应尽早抓好补除工作。防除稗草可用二氯喹啉酸、防除千金子可用氰氟草酯，施药前排干田水，施药后</w:t>
      </w:r>
      <w:r>
        <w:rPr>
          <w:rFonts w:hint="eastAsia" w:ascii="宋体" w:hAnsi="宋体" w:eastAsia="宋体"/>
          <w:bCs/>
        </w:rPr>
        <w:t>1 d</w:t>
      </w:r>
      <w:r>
        <w:rPr>
          <w:rFonts w:hint="eastAsia" w:ascii="宋体" w:hAnsi="宋体" w:eastAsia="宋体"/>
        </w:rPr>
        <w:t>灌水3 cm</w:t>
      </w:r>
      <w:r>
        <w:rPr>
          <w:rFonts w:hint="eastAsia" w:ascii="宋体" w:hAnsi="宋体" w:eastAsia="宋体" w:cs="宋体"/>
        </w:rPr>
        <w:t>～5 cm，并保持水层5 d～7 d。</w:t>
      </w:r>
      <w:r>
        <w:rPr>
          <w:rFonts w:hint="eastAsia" w:ascii="宋体" w:hAnsi="宋体" w:eastAsia="宋体"/>
        </w:rPr>
        <w:t>严格掌握除草剂的使用时间、药量与方法。多效唑处理过的秧苗慎用二氯喹啉酸。</w:t>
      </w:r>
    </w:p>
    <w:p>
      <w:pPr>
        <w:pStyle w:val="41"/>
        <w:spacing w:before="156" w:after="156"/>
      </w:pPr>
      <w:r>
        <w:rPr>
          <w:rFonts w:hint="eastAsia"/>
        </w:rPr>
        <w:t>病虫害防治</w:t>
      </w:r>
    </w:p>
    <w:p>
      <w:pPr>
        <w:pStyle w:val="40"/>
        <w:numPr>
          <w:ilvl w:val="0"/>
          <w:numId w:val="0"/>
        </w:numPr>
        <w:spacing w:before="156" w:after="156"/>
        <w:ind w:firstLine="420" w:firstLineChars="200"/>
        <w:rPr>
          <w:rFonts w:ascii="宋体" w:hAnsi="宋体" w:eastAsia="宋体"/>
        </w:rPr>
      </w:pPr>
      <w:r>
        <w:rPr>
          <w:rFonts w:hint="eastAsia" w:ascii="宋体" w:hAnsi="宋体" w:eastAsia="宋体"/>
        </w:rPr>
        <w:t>可使用杀虫灯、性诱剂及田边种植香根草等物理、生物方法防治。</w:t>
      </w:r>
    </w:p>
    <w:p>
      <w:pPr>
        <w:pStyle w:val="40"/>
        <w:numPr>
          <w:ilvl w:val="0"/>
          <w:numId w:val="0"/>
        </w:numPr>
        <w:spacing w:before="156" w:after="156"/>
        <w:ind w:firstLine="420" w:firstLineChars="200"/>
        <w:rPr>
          <w:rFonts w:ascii="宋体" w:hAnsi="宋体" w:eastAsia="宋体"/>
        </w:rPr>
      </w:pPr>
      <w:r>
        <w:rPr>
          <w:rFonts w:hint="eastAsia" w:ascii="宋体" w:hAnsi="宋体" w:eastAsia="宋体"/>
        </w:rPr>
        <w:t>前期防治主要以二化螟、稻纵卷叶螟为主；中后期以防治稻飞虱、纹枯病为主；穗期重点抓好二化螟、稻飞虱和稻曲病等穗期综合症的预防。（详见表1）</w:t>
      </w:r>
    </w:p>
    <w:p>
      <w:pPr>
        <w:pStyle w:val="48"/>
        <w:spacing w:before="156" w:after="156"/>
      </w:pPr>
      <w:r>
        <w:rPr>
          <w:rFonts w:hint="eastAsia"/>
        </w:rPr>
        <w:t>甬优12主要病虫害化学防治方案</w:t>
      </w:r>
    </w:p>
    <w:tbl>
      <w:tblPr>
        <w:tblStyle w:val="35"/>
        <w:tblW w:w="957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4"/>
        <w:gridCol w:w="1914"/>
        <w:gridCol w:w="1914"/>
        <w:gridCol w:w="1914"/>
        <w:gridCol w:w="19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14" w:type="dxa"/>
            <w:tcBorders>
              <w:bottom w:val="single" w:color="auto" w:sz="12" w:space="0"/>
            </w:tcBorders>
          </w:tcPr>
          <w:p>
            <w:pPr>
              <w:rPr>
                <w:rFonts w:ascii="宋体"/>
                <w:szCs w:val="21"/>
              </w:rPr>
            </w:pPr>
            <w:r>
              <w:rPr>
                <w:rFonts w:hint="eastAsia" w:ascii="宋体"/>
                <w:szCs w:val="21"/>
              </w:rPr>
              <w:t>防治对象</w:t>
            </w:r>
          </w:p>
        </w:tc>
        <w:tc>
          <w:tcPr>
            <w:tcW w:w="1914" w:type="dxa"/>
            <w:tcBorders>
              <w:bottom w:val="single" w:color="auto" w:sz="12" w:space="0"/>
            </w:tcBorders>
          </w:tcPr>
          <w:p>
            <w:pPr>
              <w:rPr>
                <w:rFonts w:ascii="宋体"/>
                <w:szCs w:val="21"/>
              </w:rPr>
            </w:pPr>
            <w:r>
              <w:rPr>
                <w:rFonts w:hint="eastAsia" w:ascii="宋体"/>
                <w:szCs w:val="21"/>
              </w:rPr>
              <w:t>通用名</w:t>
            </w:r>
          </w:p>
        </w:tc>
        <w:tc>
          <w:tcPr>
            <w:tcW w:w="1914" w:type="dxa"/>
            <w:tcBorders>
              <w:bottom w:val="single" w:color="auto" w:sz="12" w:space="0"/>
            </w:tcBorders>
          </w:tcPr>
          <w:p>
            <w:pPr>
              <w:rPr>
                <w:rFonts w:ascii="宋体"/>
                <w:szCs w:val="21"/>
              </w:rPr>
            </w:pPr>
            <w:r>
              <w:rPr>
                <w:rFonts w:hint="eastAsia" w:ascii="宋体"/>
                <w:szCs w:val="21"/>
              </w:rPr>
              <w:t>有效成分含量</w:t>
            </w:r>
          </w:p>
        </w:tc>
        <w:tc>
          <w:tcPr>
            <w:tcW w:w="1914" w:type="dxa"/>
            <w:tcBorders>
              <w:bottom w:val="single" w:color="auto" w:sz="12" w:space="0"/>
            </w:tcBorders>
          </w:tcPr>
          <w:p>
            <w:pPr>
              <w:rPr>
                <w:rFonts w:ascii="宋体"/>
                <w:szCs w:val="21"/>
              </w:rPr>
            </w:pPr>
            <w:r>
              <w:rPr>
                <w:rFonts w:hint="eastAsia" w:ascii="宋体"/>
                <w:szCs w:val="21"/>
              </w:rPr>
              <w:t>每667 m</w:t>
            </w:r>
            <w:r>
              <w:rPr>
                <w:rFonts w:hint="eastAsia" w:ascii="宋体"/>
                <w:szCs w:val="21"/>
                <w:vertAlign w:val="superscript"/>
              </w:rPr>
              <w:t>2</w:t>
            </w:r>
            <w:r>
              <w:rPr>
                <w:rFonts w:hint="eastAsia" w:ascii="宋体"/>
                <w:szCs w:val="21"/>
              </w:rPr>
              <w:t>用量</w:t>
            </w:r>
          </w:p>
        </w:tc>
        <w:tc>
          <w:tcPr>
            <w:tcW w:w="1914" w:type="dxa"/>
            <w:tcBorders>
              <w:bottom w:val="single" w:color="auto" w:sz="12" w:space="0"/>
            </w:tcBorders>
          </w:tcPr>
          <w:p>
            <w:pPr>
              <w:rPr>
                <w:rFonts w:ascii="宋体"/>
                <w:szCs w:val="21"/>
              </w:rPr>
            </w:pPr>
            <w:r>
              <w:rPr>
                <w:rFonts w:hint="eastAsia" w:ascii="宋体"/>
                <w:szCs w:val="21"/>
              </w:rPr>
              <w:t>施药方法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14" w:type="dxa"/>
            <w:vMerge w:val="restart"/>
            <w:tcBorders>
              <w:top w:val="single" w:color="auto" w:sz="12" w:space="0"/>
            </w:tcBorders>
          </w:tcPr>
          <w:p>
            <w:pPr>
              <w:rPr>
                <w:rFonts w:ascii="宋体"/>
                <w:szCs w:val="21"/>
              </w:rPr>
            </w:pPr>
            <w:r>
              <w:rPr>
                <w:rFonts w:hint="eastAsia" w:ascii="宋体"/>
                <w:szCs w:val="21"/>
              </w:rPr>
              <w:t>二化螟</w:t>
            </w:r>
          </w:p>
        </w:tc>
        <w:tc>
          <w:tcPr>
            <w:tcW w:w="1914" w:type="dxa"/>
            <w:tcBorders>
              <w:top w:val="single" w:color="auto" w:sz="12" w:space="0"/>
            </w:tcBorders>
          </w:tcPr>
          <w:p>
            <w:pPr>
              <w:rPr>
                <w:rFonts w:ascii="宋体"/>
                <w:szCs w:val="21"/>
              </w:rPr>
            </w:pPr>
            <w:r>
              <w:rPr>
                <w:rFonts w:hint="eastAsia" w:ascii="宋体" w:hAnsi="宋体" w:cs="宋体"/>
                <w:bCs/>
                <w:szCs w:val="21"/>
              </w:rPr>
              <w:t>乙多•甲氧虫</w:t>
            </w:r>
          </w:p>
        </w:tc>
        <w:tc>
          <w:tcPr>
            <w:tcW w:w="1914" w:type="dxa"/>
            <w:tcBorders>
              <w:top w:val="single" w:color="auto" w:sz="12" w:space="0"/>
            </w:tcBorders>
          </w:tcPr>
          <w:p>
            <w:pPr>
              <w:rPr>
                <w:rFonts w:ascii="宋体"/>
                <w:szCs w:val="21"/>
              </w:rPr>
            </w:pPr>
            <w:r>
              <w:rPr>
                <w:rFonts w:hint="eastAsia" w:ascii="宋体"/>
                <w:szCs w:val="21"/>
              </w:rPr>
              <w:t>34%</w:t>
            </w:r>
          </w:p>
        </w:tc>
        <w:tc>
          <w:tcPr>
            <w:tcW w:w="1914" w:type="dxa"/>
            <w:tcBorders>
              <w:top w:val="single" w:color="auto" w:sz="12" w:space="0"/>
            </w:tcBorders>
          </w:tcPr>
          <w:p>
            <w:pPr>
              <w:jc w:val="left"/>
              <w:rPr>
                <w:rFonts w:ascii="宋体" w:hAnsi="宋体"/>
                <w:szCs w:val="21"/>
              </w:rPr>
            </w:pPr>
            <w:r>
              <w:rPr>
                <w:rFonts w:hint="eastAsia" w:ascii="宋体" w:hAnsi="宋体"/>
                <w:szCs w:val="21"/>
              </w:rPr>
              <w:t>24 ml</w:t>
            </w:r>
          </w:p>
        </w:tc>
        <w:tc>
          <w:tcPr>
            <w:tcW w:w="1914" w:type="dxa"/>
            <w:tcBorders>
              <w:top w:val="single" w:color="auto" w:sz="12" w:space="0"/>
            </w:tcBorders>
          </w:tcPr>
          <w:p>
            <w:pPr>
              <w:rPr>
                <w:rFonts w:ascii="宋体"/>
                <w:szCs w:val="21"/>
              </w:rPr>
            </w:pPr>
            <w:r>
              <w:rPr>
                <w:rFonts w:hint="eastAsia" w:ascii="宋体"/>
                <w:szCs w:val="21"/>
              </w:rPr>
              <w:t>喷雾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14" w:type="dxa"/>
            <w:vMerge w:val="continue"/>
          </w:tcPr>
          <w:p>
            <w:pPr>
              <w:rPr>
                <w:rFonts w:ascii="宋体"/>
                <w:szCs w:val="21"/>
              </w:rPr>
            </w:pPr>
          </w:p>
        </w:tc>
        <w:tc>
          <w:tcPr>
            <w:tcW w:w="1914" w:type="dxa"/>
          </w:tcPr>
          <w:p>
            <w:pPr>
              <w:rPr>
                <w:rFonts w:ascii="宋体"/>
                <w:szCs w:val="21"/>
              </w:rPr>
            </w:pPr>
            <w:r>
              <w:rPr>
                <w:rFonts w:hint="eastAsia" w:ascii="宋体" w:hAnsi="宋体" w:cs="宋体"/>
                <w:bCs/>
                <w:szCs w:val="21"/>
              </w:rPr>
              <w:t>阿维•甲虫肼</w:t>
            </w:r>
          </w:p>
        </w:tc>
        <w:tc>
          <w:tcPr>
            <w:tcW w:w="1914" w:type="dxa"/>
          </w:tcPr>
          <w:p>
            <w:pPr>
              <w:rPr>
                <w:rFonts w:ascii="宋体"/>
                <w:szCs w:val="21"/>
              </w:rPr>
            </w:pPr>
            <w:r>
              <w:rPr>
                <w:rFonts w:hint="eastAsia" w:ascii="宋体"/>
                <w:szCs w:val="21"/>
              </w:rPr>
              <w:t>10%</w:t>
            </w:r>
          </w:p>
        </w:tc>
        <w:tc>
          <w:tcPr>
            <w:tcW w:w="1914" w:type="dxa"/>
          </w:tcPr>
          <w:p>
            <w:pPr>
              <w:jc w:val="left"/>
              <w:rPr>
                <w:rFonts w:ascii="宋体" w:hAnsi="宋体"/>
                <w:szCs w:val="21"/>
              </w:rPr>
            </w:pPr>
            <w:r>
              <w:rPr>
                <w:rFonts w:hint="eastAsia" w:ascii="宋体" w:hAnsi="宋体"/>
                <w:szCs w:val="21"/>
              </w:rPr>
              <w:t>60 ml</w:t>
            </w:r>
          </w:p>
        </w:tc>
        <w:tc>
          <w:tcPr>
            <w:tcW w:w="1914" w:type="dxa"/>
          </w:tcPr>
          <w:p>
            <w:pPr>
              <w:rPr>
                <w:rFonts w:ascii="宋体"/>
                <w:szCs w:val="21"/>
              </w:rPr>
            </w:pPr>
            <w:r>
              <w:rPr>
                <w:rFonts w:hint="eastAsia" w:ascii="宋体"/>
                <w:szCs w:val="21"/>
              </w:rPr>
              <w:t>喷雾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14" w:type="dxa"/>
            <w:vMerge w:val="continue"/>
          </w:tcPr>
          <w:p>
            <w:pPr>
              <w:rPr>
                <w:rFonts w:ascii="宋体"/>
                <w:szCs w:val="21"/>
              </w:rPr>
            </w:pPr>
          </w:p>
        </w:tc>
        <w:tc>
          <w:tcPr>
            <w:tcW w:w="1914" w:type="dxa"/>
          </w:tcPr>
          <w:p>
            <w:pPr>
              <w:rPr>
                <w:rFonts w:ascii="宋体" w:hAnsi="宋体" w:cs="宋体"/>
                <w:bCs/>
                <w:szCs w:val="21"/>
              </w:rPr>
            </w:pPr>
            <w:r>
              <w:rPr>
                <w:rFonts w:hint="eastAsia" w:ascii="宋体" w:hAnsi="宋体"/>
                <w:bCs/>
                <w:szCs w:val="21"/>
              </w:rPr>
              <w:t>阿维</w:t>
            </w:r>
            <w:r>
              <w:rPr>
                <w:rFonts w:ascii="宋体" w:hAnsi="宋体"/>
                <w:bCs/>
                <w:szCs w:val="21"/>
              </w:rPr>
              <w:t>·</w:t>
            </w:r>
            <w:r>
              <w:rPr>
                <w:rFonts w:hint="eastAsia" w:ascii="宋体" w:hAnsi="宋体"/>
                <w:bCs/>
                <w:szCs w:val="21"/>
              </w:rPr>
              <w:t>氯苯酰</w:t>
            </w:r>
          </w:p>
        </w:tc>
        <w:tc>
          <w:tcPr>
            <w:tcW w:w="1914" w:type="dxa"/>
          </w:tcPr>
          <w:p>
            <w:pPr>
              <w:rPr>
                <w:rFonts w:ascii="宋体"/>
                <w:szCs w:val="21"/>
              </w:rPr>
            </w:pPr>
            <w:r>
              <w:rPr>
                <w:rFonts w:hint="eastAsia" w:ascii="宋体"/>
                <w:szCs w:val="21"/>
              </w:rPr>
              <w:t>6%</w:t>
            </w:r>
          </w:p>
        </w:tc>
        <w:tc>
          <w:tcPr>
            <w:tcW w:w="1914" w:type="dxa"/>
          </w:tcPr>
          <w:p>
            <w:pPr>
              <w:jc w:val="left"/>
              <w:rPr>
                <w:rFonts w:ascii="宋体" w:hAnsi="宋体"/>
                <w:szCs w:val="21"/>
              </w:rPr>
            </w:pPr>
            <w:r>
              <w:rPr>
                <w:rFonts w:hint="eastAsia" w:ascii="宋体" w:hAnsi="宋体"/>
                <w:szCs w:val="21"/>
              </w:rPr>
              <w:t>40 ml</w:t>
            </w:r>
          </w:p>
        </w:tc>
        <w:tc>
          <w:tcPr>
            <w:tcW w:w="1914" w:type="dxa"/>
          </w:tcPr>
          <w:p>
            <w:pPr>
              <w:rPr>
                <w:rFonts w:ascii="宋体"/>
                <w:szCs w:val="21"/>
              </w:rPr>
            </w:pPr>
            <w:r>
              <w:rPr>
                <w:rFonts w:hint="eastAsia" w:ascii="宋体"/>
                <w:szCs w:val="21"/>
              </w:rPr>
              <w:t>喷雾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14" w:type="dxa"/>
            <w:vMerge w:val="restart"/>
          </w:tcPr>
          <w:p>
            <w:pPr>
              <w:rPr>
                <w:rFonts w:ascii="宋体"/>
                <w:szCs w:val="21"/>
              </w:rPr>
            </w:pPr>
            <w:r>
              <w:rPr>
                <w:rFonts w:hint="eastAsia" w:ascii="宋体"/>
                <w:szCs w:val="21"/>
              </w:rPr>
              <w:t>稻纵卷叶螟</w:t>
            </w:r>
          </w:p>
        </w:tc>
        <w:tc>
          <w:tcPr>
            <w:tcW w:w="1914" w:type="dxa"/>
          </w:tcPr>
          <w:p>
            <w:pPr>
              <w:rPr>
                <w:rFonts w:ascii="宋体" w:hAnsi="宋体" w:cs="宋体"/>
                <w:bCs/>
                <w:szCs w:val="21"/>
              </w:rPr>
            </w:pPr>
            <w:r>
              <w:rPr>
                <w:rFonts w:hint="eastAsia" w:ascii="宋体" w:hAnsi="宋体" w:cs="宋体"/>
                <w:bCs/>
                <w:szCs w:val="21"/>
              </w:rPr>
              <w:t>氯虫苯甲酰胺</w:t>
            </w:r>
          </w:p>
        </w:tc>
        <w:tc>
          <w:tcPr>
            <w:tcW w:w="1914" w:type="dxa"/>
          </w:tcPr>
          <w:p>
            <w:pPr>
              <w:rPr>
                <w:rFonts w:ascii="宋体"/>
                <w:szCs w:val="21"/>
              </w:rPr>
            </w:pPr>
            <w:r>
              <w:rPr>
                <w:rFonts w:hint="eastAsia" w:ascii="宋体"/>
                <w:szCs w:val="21"/>
              </w:rPr>
              <w:t>20%</w:t>
            </w:r>
          </w:p>
        </w:tc>
        <w:tc>
          <w:tcPr>
            <w:tcW w:w="1914" w:type="dxa"/>
          </w:tcPr>
          <w:p>
            <w:pPr>
              <w:jc w:val="left"/>
              <w:rPr>
                <w:rFonts w:ascii="宋体" w:hAnsi="宋体"/>
                <w:szCs w:val="21"/>
              </w:rPr>
            </w:pPr>
            <w:r>
              <w:rPr>
                <w:rFonts w:hint="eastAsia" w:ascii="宋体" w:hAnsi="宋体"/>
                <w:szCs w:val="21"/>
              </w:rPr>
              <w:t>10 ml</w:t>
            </w:r>
          </w:p>
        </w:tc>
        <w:tc>
          <w:tcPr>
            <w:tcW w:w="1914" w:type="dxa"/>
          </w:tcPr>
          <w:p>
            <w:pPr>
              <w:rPr>
                <w:rFonts w:ascii="宋体"/>
                <w:szCs w:val="21"/>
              </w:rPr>
            </w:pPr>
            <w:r>
              <w:rPr>
                <w:rFonts w:hint="eastAsia" w:ascii="宋体"/>
                <w:szCs w:val="21"/>
              </w:rPr>
              <w:t>喷雾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14" w:type="dxa"/>
            <w:vMerge w:val="continue"/>
          </w:tcPr>
          <w:p>
            <w:pPr>
              <w:rPr>
                <w:rFonts w:ascii="宋体"/>
                <w:szCs w:val="21"/>
              </w:rPr>
            </w:pPr>
          </w:p>
        </w:tc>
        <w:tc>
          <w:tcPr>
            <w:tcW w:w="1914" w:type="dxa"/>
          </w:tcPr>
          <w:p>
            <w:pPr>
              <w:rPr>
                <w:rFonts w:ascii="宋体" w:hAnsi="宋体" w:cs="宋体"/>
                <w:bCs/>
                <w:szCs w:val="21"/>
              </w:rPr>
            </w:pPr>
            <w:r>
              <w:rPr>
                <w:rFonts w:hint="eastAsia" w:ascii="宋体" w:hAnsi="宋体" w:cs="宋体"/>
                <w:bCs/>
                <w:szCs w:val="21"/>
              </w:rPr>
              <w:t>阿维</w:t>
            </w:r>
            <w:r>
              <w:rPr>
                <w:rFonts w:ascii="宋体" w:hAnsi="宋体" w:cs="宋体"/>
                <w:bCs/>
                <w:szCs w:val="21"/>
              </w:rPr>
              <w:t>·</w:t>
            </w:r>
            <w:r>
              <w:rPr>
                <w:rFonts w:hint="eastAsia" w:ascii="宋体" w:hAnsi="宋体" w:cs="宋体"/>
                <w:bCs/>
                <w:szCs w:val="21"/>
              </w:rPr>
              <w:t>抑食肼</w:t>
            </w:r>
          </w:p>
        </w:tc>
        <w:tc>
          <w:tcPr>
            <w:tcW w:w="1914" w:type="dxa"/>
          </w:tcPr>
          <w:p>
            <w:pPr>
              <w:rPr>
                <w:rFonts w:ascii="宋体" w:hAnsi="宋体" w:cs="宋体"/>
                <w:bCs/>
                <w:szCs w:val="21"/>
              </w:rPr>
            </w:pPr>
            <w:r>
              <w:rPr>
                <w:rFonts w:hint="eastAsia" w:ascii="宋体" w:hAnsi="宋体" w:cs="宋体"/>
                <w:bCs/>
                <w:szCs w:val="21"/>
              </w:rPr>
              <w:t>33%</w:t>
            </w:r>
          </w:p>
        </w:tc>
        <w:tc>
          <w:tcPr>
            <w:tcW w:w="1914" w:type="dxa"/>
          </w:tcPr>
          <w:p>
            <w:pPr>
              <w:jc w:val="left"/>
              <w:rPr>
                <w:rFonts w:ascii="宋体" w:hAnsi="宋体"/>
                <w:szCs w:val="21"/>
              </w:rPr>
            </w:pPr>
            <w:r>
              <w:rPr>
                <w:rFonts w:ascii="宋体" w:hAnsi="宋体"/>
                <w:szCs w:val="21"/>
              </w:rPr>
              <w:t>30</w:t>
            </w:r>
            <w:r>
              <w:rPr>
                <w:rFonts w:hint="eastAsia" w:ascii="宋体" w:hAnsi="宋体"/>
                <w:szCs w:val="21"/>
              </w:rPr>
              <w:t xml:space="preserve"> g</w:t>
            </w:r>
          </w:p>
        </w:tc>
        <w:tc>
          <w:tcPr>
            <w:tcW w:w="1914" w:type="dxa"/>
          </w:tcPr>
          <w:p>
            <w:pPr>
              <w:rPr>
                <w:rFonts w:ascii="宋体" w:hAnsi="宋体" w:cs="宋体"/>
                <w:bCs/>
                <w:szCs w:val="21"/>
              </w:rPr>
            </w:pPr>
            <w:r>
              <w:rPr>
                <w:rFonts w:hint="eastAsia" w:ascii="宋体"/>
                <w:szCs w:val="21"/>
              </w:rPr>
              <w:t>喷雾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14" w:type="dxa"/>
          </w:tcPr>
          <w:p>
            <w:pPr>
              <w:rPr>
                <w:rFonts w:ascii="宋体"/>
                <w:szCs w:val="21"/>
              </w:rPr>
            </w:pPr>
            <w:r>
              <w:rPr>
                <w:rFonts w:hint="eastAsia" w:ascii="宋体"/>
                <w:szCs w:val="21"/>
              </w:rPr>
              <w:t>白背飞虱</w:t>
            </w:r>
          </w:p>
        </w:tc>
        <w:tc>
          <w:tcPr>
            <w:tcW w:w="1914" w:type="dxa"/>
          </w:tcPr>
          <w:p>
            <w:pPr>
              <w:rPr>
                <w:rFonts w:ascii="宋体" w:hAnsi="宋体"/>
                <w:szCs w:val="21"/>
              </w:rPr>
            </w:pPr>
            <w:r>
              <w:rPr>
                <w:rFonts w:hint="eastAsia" w:ascii="宋体" w:hAnsi="宋体"/>
                <w:szCs w:val="21"/>
              </w:rPr>
              <w:t>吡虫啉</w:t>
            </w:r>
          </w:p>
        </w:tc>
        <w:tc>
          <w:tcPr>
            <w:tcW w:w="1914" w:type="dxa"/>
          </w:tcPr>
          <w:p>
            <w:pPr>
              <w:rPr>
                <w:rFonts w:ascii="宋体"/>
                <w:szCs w:val="21"/>
              </w:rPr>
            </w:pPr>
            <w:r>
              <w:rPr>
                <w:rFonts w:hint="eastAsia" w:ascii="宋体"/>
                <w:szCs w:val="21"/>
              </w:rPr>
              <w:t>70%</w:t>
            </w:r>
          </w:p>
        </w:tc>
        <w:tc>
          <w:tcPr>
            <w:tcW w:w="1914" w:type="dxa"/>
          </w:tcPr>
          <w:p>
            <w:pPr>
              <w:jc w:val="left"/>
              <w:rPr>
                <w:rFonts w:ascii="宋体" w:hAnsi="宋体"/>
                <w:szCs w:val="21"/>
              </w:rPr>
            </w:pPr>
            <w:r>
              <w:rPr>
                <w:rFonts w:hint="eastAsia" w:ascii="宋体" w:hAnsi="宋体"/>
                <w:szCs w:val="21"/>
              </w:rPr>
              <w:t>4 g</w:t>
            </w:r>
          </w:p>
        </w:tc>
        <w:tc>
          <w:tcPr>
            <w:tcW w:w="1914" w:type="dxa"/>
          </w:tcPr>
          <w:p>
            <w:pPr>
              <w:rPr>
                <w:rFonts w:ascii="宋体"/>
                <w:szCs w:val="21"/>
              </w:rPr>
            </w:pPr>
            <w:r>
              <w:rPr>
                <w:rFonts w:hint="eastAsia" w:ascii="宋体"/>
                <w:szCs w:val="21"/>
              </w:rPr>
              <w:t>喷雾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14" w:type="dxa"/>
            <w:vMerge w:val="restart"/>
          </w:tcPr>
          <w:p>
            <w:pPr>
              <w:rPr>
                <w:rFonts w:ascii="宋体"/>
                <w:szCs w:val="21"/>
              </w:rPr>
            </w:pPr>
            <w:r>
              <w:rPr>
                <w:rFonts w:hint="eastAsia" w:ascii="宋体"/>
                <w:szCs w:val="21"/>
              </w:rPr>
              <w:t>褐飞虱、灰飞虱</w:t>
            </w:r>
          </w:p>
        </w:tc>
        <w:tc>
          <w:tcPr>
            <w:tcW w:w="1914" w:type="dxa"/>
          </w:tcPr>
          <w:p>
            <w:pPr>
              <w:rPr>
                <w:rFonts w:ascii="宋体"/>
                <w:szCs w:val="21"/>
              </w:rPr>
            </w:pPr>
            <w:r>
              <w:rPr>
                <w:rFonts w:hint="eastAsia" w:ascii="宋体" w:hAnsi="宋体"/>
                <w:szCs w:val="21"/>
              </w:rPr>
              <w:t>吡蚜酮</w:t>
            </w:r>
          </w:p>
        </w:tc>
        <w:tc>
          <w:tcPr>
            <w:tcW w:w="1914" w:type="dxa"/>
          </w:tcPr>
          <w:p>
            <w:pPr>
              <w:rPr>
                <w:rFonts w:ascii="宋体"/>
                <w:szCs w:val="21"/>
              </w:rPr>
            </w:pPr>
            <w:r>
              <w:rPr>
                <w:rFonts w:hint="eastAsia" w:ascii="宋体"/>
                <w:szCs w:val="21"/>
              </w:rPr>
              <w:t>50%</w:t>
            </w:r>
          </w:p>
        </w:tc>
        <w:tc>
          <w:tcPr>
            <w:tcW w:w="1914" w:type="dxa"/>
          </w:tcPr>
          <w:p>
            <w:pPr>
              <w:jc w:val="left"/>
              <w:rPr>
                <w:rFonts w:ascii="宋体" w:hAnsi="宋体"/>
                <w:szCs w:val="21"/>
              </w:rPr>
            </w:pPr>
            <w:r>
              <w:rPr>
                <w:rFonts w:hint="eastAsia" w:ascii="宋体" w:hAnsi="宋体"/>
                <w:szCs w:val="21"/>
              </w:rPr>
              <w:t>20 g</w:t>
            </w:r>
          </w:p>
        </w:tc>
        <w:tc>
          <w:tcPr>
            <w:tcW w:w="1914" w:type="dxa"/>
          </w:tcPr>
          <w:p>
            <w:pPr>
              <w:rPr>
                <w:rFonts w:ascii="宋体"/>
                <w:szCs w:val="21"/>
              </w:rPr>
            </w:pPr>
            <w:r>
              <w:rPr>
                <w:rFonts w:hint="eastAsia" w:ascii="宋体"/>
                <w:szCs w:val="21"/>
              </w:rPr>
              <w:t>喷雾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14" w:type="dxa"/>
            <w:vMerge w:val="continue"/>
          </w:tcPr>
          <w:p>
            <w:pPr>
              <w:rPr>
                <w:rFonts w:ascii="宋体"/>
                <w:szCs w:val="21"/>
              </w:rPr>
            </w:pPr>
          </w:p>
        </w:tc>
        <w:tc>
          <w:tcPr>
            <w:tcW w:w="1914" w:type="dxa"/>
          </w:tcPr>
          <w:p>
            <w:pPr>
              <w:rPr>
                <w:rFonts w:ascii="宋体"/>
                <w:szCs w:val="21"/>
              </w:rPr>
            </w:pPr>
            <w:r>
              <w:rPr>
                <w:rFonts w:hint="eastAsia" w:ascii="宋体" w:hAnsi="宋体" w:cs="宋体"/>
                <w:kern w:val="0"/>
                <w:szCs w:val="21"/>
              </w:rPr>
              <w:t>烯啶·吡蚜酮</w:t>
            </w:r>
          </w:p>
        </w:tc>
        <w:tc>
          <w:tcPr>
            <w:tcW w:w="1914" w:type="dxa"/>
          </w:tcPr>
          <w:p>
            <w:pPr>
              <w:rPr>
                <w:rFonts w:ascii="宋体"/>
                <w:szCs w:val="21"/>
              </w:rPr>
            </w:pPr>
            <w:r>
              <w:rPr>
                <w:rFonts w:hint="eastAsia" w:ascii="宋体"/>
                <w:szCs w:val="21"/>
              </w:rPr>
              <w:t>80%</w:t>
            </w:r>
          </w:p>
        </w:tc>
        <w:tc>
          <w:tcPr>
            <w:tcW w:w="1914" w:type="dxa"/>
          </w:tcPr>
          <w:p>
            <w:pPr>
              <w:jc w:val="left"/>
              <w:rPr>
                <w:rFonts w:ascii="宋体" w:hAnsi="宋体"/>
                <w:szCs w:val="21"/>
              </w:rPr>
            </w:pPr>
            <w:r>
              <w:rPr>
                <w:rFonts w:hint="eastAsia" w:ascii="宋体" w:hAnsi="宋体"/>
                <w:szCs w:val="21"/>
              </w:rPr>
              <w:t>10 g～15 g</w:t>
            </w:r>
          </w:p>
        </w:tc>
        <w:tc>
          <w:tcPr>
            <w:tcW w:w="1914" w:type="dxa"/>
          </w:tcPr>
          <w:p>
            <w:pPr>
              <w:rPr>
                <w:rFonts w:ascii="宋体"/>
                <w:szCs w:val="21"/>
              </w:rPr>
            </w:pPr>
            <w:r>
              <w:rPr>
                <w:rFonts w:hint="eastAsia" w:ascii="宋体"/>
                <w:szCs w:val="21"/>
              </w:rPr>
              <w:t>喷雾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14" w:type="dxa"/>
            <w:vMerge w:val="restart"/>
          </w:tcPr>
          <w:p>
            <w:pPr>
              <w:rPr>
                <w:rFonts w:ascii="宋体"/>
                <w:szCs w:val="21"/>
              </w:rPr>
            </w:pPr>
            <w:r>
              <w:rPr>
                <w:rFonts w:hint="eastAsia" w:ascii="宋体"/>
                <w:szCs w:val="21"/>
              </w:rPr>
              <w:t>纹枯病</w:t>
            </w:r>
          </w:p>
        </w:tc>
        <w:tc>
          <w:tcPr>
            <w:tcW w:w="1914" w:type="dxa"/>
          </w:tcPr>
          <w:p>
            <w:pPr>
              <w:rPr>
                <w:rFonts w:ascii="宋体" w:hAnsi="宋体"/>
                <w:szCs w:val="21"/>
              </w:rPr>
            </w:pPr>
            <w:r>
              <w:rPr>
                <w:rFonts w:hint="eastAsia" w:ascii="宋体" w:hAnsi="宋体"/>
                <w:bCs/>
                <w:szCs w:val="21"/>
              </w:rPr>
              <w:t>己唑醇</w:t>
            </w:r>
          </w:p>
        </w:tc>
        <w:tc>
          <w:tcPr>
            <w:tcW w:w="1914" w:type="dxa"/>
          </w:tcPr>
          <w:p>
            <w:pPr>
              <w:rPr>
                <w:rFonts w:ascii="宋体"/>
                <w:szCs w:val="21"/>
              </w:rPr>
            </w:pPr>
            <w:r>
              <w:rPr>
                <w:rFonts w:hint="eastAsia" w:ascii="宋体"/>
                <w:szCs w:val="21"/>
              </w:rPr>
              <w:t>10%</w:t>
            </w:r>
          </w:p>
        </w:tc>
        <w:tc>
          <w:tcPr>
            <w:tcW w:w="1914" w:type="dxa"/>
          </w:tcPr>
          <w:p>
            <w:pPr>
              <w:jc w:val="left"/>
              <w:rPr>
                <w:rFonts w:ascii="宋体" w:hAnsi="宋体"/>
                <w:szCs w:val="21"/>
              </w:rPr>
            </w:pPr>
            <w:r>
              <w:rPr>
                <w:rFonts w:ascii="宋体" w:hAnsi="宋体"/>
                <w:szCs w:val="21"/>
              </w:rPr>
              <w:t>50</w:t>
            </w:r>
            <w:r>
              <w:rPr>
                <w:rFonts w:hint="eastAsia" w:ascii="宋体" w:hAnsi="宋体"/>
                <w:szCs w:val="21"/>
              </w:rPr>
              <w:t xml:space="preserve"> ml</w:t>
            </w:r>
          </w:p>
        </w:tc>
        <w:tc>
          <w:tcPr>
            <w:tcW w:w="1914" w:type="dxa"/>
          </w:tcPr>
          <w:p>
            <w:pPr>
              <w:rPr>
                <w:rFonts w:ascii="宋体"/>
                <w:szCs w:val="21"/>
              </w:rPr>
            </w:pPr>
            <w:r>
              <w:rPr>
                <w:rFonts w:hint="eastAsia" w:ascii="宋体"/>
                <w:szCs w:val="21"/>
              </w:rPr>
              <w:t>喷雾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14" w:type="dxa"/>
            <w:vMerge w:val="continue"/>
          </w:tcPr>
          <w:p>
            <w:pPr>
              <w:rPr>
                <w:rFonts w:ascii="宋体"/>
                <w:szCs w:val="21"/>
              </w:rPr>
            </w:pPr>
          </w:p>
        </w:tc>
        <w:tc>
          <w:tcPr>
            <w:tcW w:w="1914" w:type="dxa"/>
          </w:tcPr>
          <w:p>
            <w:pPr>
              <w:rPr>
                <w:rFonts w:ascii="宋体"/>
                <w:szCs w:val="21"/>
              </w:rPr>
            </w:pPr>
            <w:r>
              <w:rPr>
                <w:rFonts w:ascii="宋体" w:hAnsi="宋体"/>
                <w:szCs w:val="21"/>
                <w:shd w:val="clear" w:color="auto" w:fill="FFFFFF"/>
              </w:rPr>
              <w:t>噻呋酰胺</w:t>
            </w:r>
          </w:p>
        </w:tc>
        <w:tc>
          <w:tcPr>
            <w:tcW w:w="1914" w:type="dxa"/>
          </w:tcPr>
          <w:p>
            <w:pPr>
              <w:rPr>
                <w:rFonts w:ascii="宋体"/>
                <w:szCs w:val="21"/>
              </w:rPr>
            </w:pPr>
            <w:r>
              <w:rPr>
                <w:rFonts w:hint="eastAsia" w:ascii="宋体"/>
                <w:szCs w:val="21"/>
              </w:rPr>
              <w:t>24%</w:t>
            </w:r>
          </w:p>
        </w:tc>
        <w:tc>
          <w:tcPr>
            <w:tcW w:w="1914" w:type="dxa"/>
          </w:tcPr>
          <w:p>
            <w:pPr>
              <w:jc w:val="left"/>
              <w:rPr>
                <w:rFonts w:ascii="宋体" w:hAnsi="宋体"/>
                <w:szCs w:val="21"/>
              </w:rPr>
            </w:pPr>
            <w:r>
              <w:rPr>
                <w:rFonts w:ascii="宋体" w:hAnsi="宋体"/>
                <w:szCs w:val="21"/>
              </w:rPr>
              <w:t>20</w:t>
            </w:r>
            <w:r>
              <w:rPr>
                <w:rFonts w:hint="eastAsia" w:ascii="宋体" w:hAnsi="宋体"/>
                <w:szCs w:val="21"/>
              </w:rPr>
              <w:t xml:space="preserve"> ml</w:t>
            </w:r>
          </w:p>
        </w:tc>
        <w:tc>
          <w:tcPr>
            <w:tcW w:w="1914" w:type="dxa"/>
          </w:tcPr>
          <w:p>
            <w:pPr>
              <w:rPr>
                <w:rFonts w:ascii="宋体"/>
                <w:szCs w:val="21"/>
              </w:rPr>
            </w:pPr>
            <w:r>
              <w:rPr>
                <w:rFonts w:hint="eastAsia" w:ascii="宋体"/>
                <w:szCs w:val="21"/>
              </w:rPr>
              <w:t>喷雾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14" w:type="dxa"/>
            <w:vMerge w:val="continue"/>
          </w:tcPr>
          <w:p>
            <w:pPr>
              <w:rPr>
                <w:rFonts w:ascii="宋体"/>
                <w:szCs w:val="21"/>
              </w:rPr>
            </w:pPr>
          </w:p>
        </w:tc>
        <w:tc>
          <w:tcPr>
            <w:tcW w:w="1914" w:type="dxa"/>
          </w:tcPr>
          <w:p>
            <w:pPr>
              <w:rPr>
                <w:rFonts w:ascii="宋体"/>
                <w:szCs w:val="21"/>
              </w:rPr>
            </w:pPr>
            <w:r>
              <w:rPr>
                <w:rFonts w:hint="eastAsia" w:ascii="宋体" w:hAnsi="宋体"/>
                <w:szCs w:val="21"/>
              </w:rPr>
              <w:t>井冈霉素</w:t>
            </w:r>
          </w:p>
        </w:tc>
        <w:tc>
          <w:tcPr>
            <w:tcW w:w="1914" w:type="dxa"/>
          </w:tcPr>
          <w:p>
            <w:pPr>
              <w:rPr>
                <w:rFonts w:ascii="宋体"/>
                <w:szCs w:val="21"/>
              </w:rPr>
            </w:pPr>
            <w:r>
              <w:rPr>
                <w:rFonts w:hint="eastAsia" w:ascii="宋体"/>
                <w:szCs w:val="21"/>
              </w:rPr>
              <w:t>5%</w:t>
            </w:r>
          </w:p>
        </w:tc>
        <w:tc>
          <w:tcPr>
            <w:tcW w:w="1914" w:type="dxa"/>
          </w:tcPr>
          <w:p>
            <w:pPr>
              <w:jc w:val="left"/>
              <w:rPr>
                <w:rFonts w:ascii="宋体" w:hAnsi="宋体"/>
                <w:szCs w:val="21"/>
              </w:rPr>
            </w:pPr>
            <w:r>
              <w:rPr>
                <w:rFonts w:hint="eastAsia" w:ascii="宋体" w:hAnsi="宋体"/>
                <w:szCs w:val="21"/>
              </w:rPr>
              <w:t>200 ml～250 ml</w:t>
            </w:r>
          </w:p>
        </w:tc>
        <w:tc>
          <w:tcPr>
            <w:tcW w:w="1914" w:type="dxa"/>
          </w:tcPr>
          <w:p>
            <w:pPr>
              <w:rPr>
                <w:rFonts w:ascii="宋体"/>
                <w:szCs w:val="21"/>
              </w:rPr>
            </w:pPr>
            <w:r>
              <w:rPr>
                <w:rFonts w:hint="eastAsia" w:ascii="宋体"/>
                <w:szCs w:val="21"/>
              </w:rPr>
              <w:t>喷雾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14" w:type="dxa"/>
            <w:vMerge w:val="restart"/>
          </w:tcPr>
          <w:p>
            <w:pPr>
              <w:rPr>
                <w:rFonts w:ascii="宋体"/>
                <w:szCs w:val="21"/>
              </w:rPr>
            </w:pPr>
            <w:r>
              <w:rPr>
                <w:rFonts w:hint="eastAsia" w:ascii="宋体"/>
                <w:szCs w:val="21"/>
              </w:rPr>
              <w:t>稻曲病及其穗期综合症</w:t>
            </w:r>
          </w:p>
        </w:tc>
        <w:tc>
          <w:tcPr>
            <w:tcW w:w="1914" w:type="dxa"/>
          </w:tcPr>
          <w:p>
            <w:pPr>
              <w:rPr>
                <w:rFonts w:ascii="宋体"/>
                <w:szCs w:val="21"/>
              </w:rPr>
            </w:pPr>
            <w:r>
              <w:rPr>
                <w:rFonts w:hint="eastAsia" w:ascii="宋体" w:hAnsi="宋体"/>
                <w:szCs w:val="21"/>
              </w:rPr>
              <w:t>苯甲·丙环唑</w:t>
            </w:r>
          </w:p>
        </w:tc>
        <w:tc>
          <w:tcPr>
            <w:tcW w:w="1914" w:type="dxa"/>
          </w:tcPr>
          <w:p>
            <w:pPr>
              <w:rPr>
                <w:rFonts w:ascii="宋体"/>
                <w:szCs w:val="21"/>
              </w:rPr>
            </w:pPr>
            <w:r>
              <w:rPr>
                <w:rFonts w:hint="eastAsia" w:ascii="宋体"/>
                <w:szCs w:val="21"/>
              </w:rPr>
              <w:t>30%</w:t>
            </w:r>
          </w:p>
        </w:tc>
        <w:tc>
          <w:tcPr>
            <w:tcW w:w="1914" w:type="dxa"/>
          </w:tcPr>
          <w:p>
            <w:pPr>
              <w:jc w:val="left"/>
              <w:rPr>
                <w:rFonts w:ascii="宋体" w:hAnsi="宋体"/>
                <w:szCs w:val="21"/>
              </w:rPr>
            </w:pPr>
            <w:r>
              <w:rPr>
                <w:rFonts w:ascii="宋体" w:hAnsi="宋体"/>
                <w:szCs w:val="21"/>
              </w:rPr>
              <w:t>15 ml</w:t>
            </w:r>
            <w:r>
              <w:rPr>
                <w:rFonts w:hint="eastAsia" w:ascii="宋体" w:hAnsi="宋体"/>
                <w:szCs w:val="21"/>
              </w:rPr>
              <w:t>～20 ml</w:t>
            </w:r>
          </w:p>
        </w:tc>
        <w:tc>
          <w:tcPr>
            <w:tcW w:w="1914" w:type="dxa"/>
          </w:tcPr>
          <w:p>
            <w:pPr>
              <w:rPr>
                <w:rFonts w:ascii="宋体"/>
                <w:szCs w:val="21"/>
              </w:rPr>
            </w:pPr>
            <w:r>
              <w:rPr>
                <w:rFonts w:hint="eastAsia" w:ascii="宋体"/>
                <w:szCs w:val="21"/>
              </w:rPr>
              <w:t>喷雾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14" w:type="dxa"/>
            <w:vMerge w:val="continue"/>
          </w:tcPr>
          <w:p>
            <w:pPr>
              <w:rPr>
                <w:rFonts w:ascii="宋体"/>
                <w:szCs w:val="21"/>
              </w:rPr>
            </w:pPr>
          </w:p>
        </w:tc>
        <w:tc>
          <w:tcPr>
            <w:tcW w:w="1914" w:type="dxa"/>
          </w:tcPr>
          <w:p>
            <w:pPr>
              <w:rPr>
                <w:rFonts w:ascii="宋体"/>
                <w:szCs w:val="21"/>
              </w:rPr>
            </w:pPr>
            <w:r>
              <w:rPr>
                <w:rFonts w:hint="eastAsia" w:ascii="宋体" w:hAnsi="宋体"/>
                <w:szCs w:val="21"/>
              </w:rPr>
              <w:t>肟菌·戊唑醇</w:t>
            </w:r>
          </w:p>
        </w:tc>
        <w:tc>
          <w:tcPr>
            <w:tcW w:w="1914" w:type="dxa"/>
          </w:tcPr>
          <w:p>
            <w:pPr>
              <w:rPr>
                <w:rFonts w:ascii="宋体"/>
                <w:szCs w:val="21"/>
              </w:rPr>
            </w:pPr>
            <w:r>
              <w:rPr>
                <w:rFonts w:hint="eastAsia" w:ascii="宋体"/>
                <w:szCs w:val="21"/>
              </w:rPr>
              <w:t>75%</w:t>
            </w:r>
          </w:p>
        </w:tc>
        <w:tc>
          <w:tcPr>
            <w:tcW w:w="1914" w:type="dxa"/>
          </w:tcPr>
          <w:p>
            <w:pPr>
              <w:jc w:val="left"/>
              <w:rPr>
                <w:rFonts w:ascii="宋体" w:hAnsi="宋体"/>
                <w:szCs w:val="21"/>
              </w:rPr>
            </w:pPr>
            <w:r>
              <w:rPr>
                <w:rFonts w:hint="eastAsia" w:ascii="宋体" w:hAnsi="宋体"/>
                <w:szCs w:val="21"/>
              </w:rPr>
              <w:t>15 g</w:t>
            </w:r>
          </w:p>
        </w:tc>
        <w:tc>
          <w:tcPr>
            <w:tcW w:w="1914" w:type="dxa"/>
          </w:tcPr>
          <w:p>
            <w:pPr>
              <w:rPr>
                <w:rFonts w:ascii="宋体"/>
                <w:szCs w:val="21"/>
              </w:rPr>
            </w:pPr>
            <w:r>
              <w:rPr>
                <w:rFonts w:hint="eastAsia" w:ascii="宋体"/>
                <w:szCs w:val="21"/>
              </w:rPr>
              <w:t>喷雾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14" w:type="dxa"/>
            <w:vMerge w:val="restart"/>
          </w:tcPr>
          <w:p>
            <w:pPr>
              <w:rPr>
                <w:szCs w:val="21"/>
              </w:rPr>
            </w:pPr>
            <w:r>
              <w:rPr>
                <w:rFonts w:hint="eastAsia"/>
                <w:szCs w:val="21"/>
              </w:rPr>
              <w:t>大田杂草</w:t>
            </w:r>
          </w:p>
        </w:tc>
        <w:tc>
          <w:tcPr>
            <w:tcW w:w="1914" w:type="dxa"/>
          </w:tcPr>
          <w:p>
            <w:pPr>
              <w:rPr>
                <w:szCs w:val="21"/>
              </w:rPr>
            </w:pPr>
            <w:r>
              <w:rPr>
                <w:rFonts w:hint="eastAsia" w:ascii="宋体" w:hAnsi="宋体"/>
                <w:szCs w:val="21"/>
              </w:rPr>
              <w:t>苄嘧·苯噻酰</w:t>
            </w:r>
          </w:p>
        </w:tc>
        <w:tc>
          <w:tcPr>
            <w:tcW w:w="1914" w:type="dxa"/>
          </w:tcPr>
          <w:p>
            <w:pPr>
              <w:rPr>
                <w:szCs w:val="21"/>
              </w:rPr>
            </w:pPr>
            <w:r>
              <w:rPr>
                <w:rFonts w:hint="eastAsia"/>
                <w:szCs w:val="21"/>
              </w:rPr>
              <w:t>50%</w:t>
            </w:r>
          </w:p>
        </w:tc>
        <w:tc>
          <w:tcPr>
            <w:tcW w:w="1914" w:type="dxa"/>
          </w:tcPr>
          <w:p>
            <w:pPr>
              <w:jc w:val="left"/>
              <w:rPr>
                <w:rFonts w:ascii="宋体" w:hAnsi="宋体"/>
                <w:szCs w:val="21"/>
              </w:rPr>
            </w:pPr>
            <w:r>
              <w:rPr>
                <w:rFonts w:ascii="宋体" w:hAnsi="宋体"/>
                <w:szCs w:val="21"/>
              </w:rPr>
              <w:t>60 g</w:t>
            </w:r>
          </w:p>
        </w:tc>
        <w:tc>
          <w:tcPr>
            <w:tcW w:w="1914" w:type="dxa"/>
          </w:tcPr>
          <w:p>
            <w:pPr>
              <w:rPr>
                <w:szCs w:val="21"/>
              </w:rPr>
            </w:pPr>
            <w:r>
              <w:rPr>
                <w:rFonts w:hint="eastAsia"/>
                <w:szCs w:val="21"/>
              </w:rPr>
              <w:t>撒施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14" w:type="dxa"/>
            <w:vMerge w:val="continue"/>
          </w:tcPr>
          <w:p>
            <w:pPr>
              <w:rPr>
                <w:rFonts w:ascii="宋体" w:hAnsi="宋体"/>
                <w:szCs w:val="21"/>
              </w:rPr>
            </w:pPr>
          </w:p>
        </w:tc>
        <w:tc>
          <w:tcPr>
            <w:tcW w:w="1914" w:type="dxa"/>
          </w:tcPr>
          <w:p>
            <w:pPr>
              <w:rPr>
                <w:rFonts w:ascii="宋体" w:hAnsi="宋体"/>
                <w:szCs w:val="21"/>
              </w:rPr>
            </w:pPr>
            <w:r>
              <w:rPr>
                <w:rFonts w:hint="eastAsia" w:hAnsi="宋体"/>
                <w:szCs w:val="21"/>
              </w:rPr>
              <w:t>苄•丁</w:t>
            </w:r>
          </w:p>
        </w:tc>
        <w:tc>
          <w:tcPr>
            <w:tcW w:w="1914" w:type="dxa"/>
          </w:tcPr>
          <w:p>
            <w:pPr>
              <w:rPr>
                <w:rFonts w:ascii="宋体"/>
                <w:szCs w:val="21"/>
              </w:rPr>
            </w:pPr>
            <w:r>
              <w:rPr>
                <w:rFonts w:hint="eastAsia"/>
                <w:szCs w:val="21"/>
              </w:rPr>
              <w:t>35%</w:t>
            </w:r>
          </w:p>
        </w:tc>
        <w:tc>
          <w:tcPr>
            <w:tcW w:w="1914" w:type="dxa"/>
          </w:tcPr>
          <w:p>
            <w:pPr>
              <w:jc w:val="left"/>
              <w:rPr>
                <w:rFonts w:ascii="宋体" w:hAnsi="宋体"/>
                <w:szCs w:val="21"/>
              </w:rPr>
            </w:pPr>
            <w:r>
              <w:rPr>
                <w:rFonts w:ascii="宋体" w:hAnsi="宋体"/>
                <w:szCs w:val="21"/>
              </w:rPr>
              <w:t>100 g</w:t>
            </w:r>
          </w:p>
        </w:tc>
        <w:tc>
          <w:tcPr>
            <w:tcW w:w="1914" w:type="dxa"/>
          </w:tcPr>
          <w:p>
            <w:pPr>
              <w:rPr>
                <w:rFonts w:ascii="宋体"/>
                <w:szCs w:val="21"/>
              </w:rPr>
            </w:pPr>
            <w:r>
              <w:rPr>
                <w:rFonts w:hint="eastAsia"/>
                <w:szCs w:val="21"/>
              </w:rPr>
              <w:t>撒施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14" w:type="dxa"/>
            <w:vMerge w:val="continue"/>
          </w:tcPr>
          <w:p>
            <w:pPr>
              <w:rPr>
                <w:rFonts w:ascii="宋体" w:hAnsi="宋体"/>
                <w:szCs w:val="21"/>
              </w:rPr>
            </w:pPr>
          </w:p>
        </w:tc>
        <w:tc>
          <w:tcPr>
            <w:tcW w:w="1914" w:type="dxa"/>
          </w:tcPr>
          <w:p>
            <w:pPr>
              <w:rPr>
                <w:rFonts w:ascii="宋体" w:hAnsi="宋体"/>
                <w:szCs w:val="21"/>
              </w:rPr>
            </w:pPr>
            <w:r>
              <w:rPr>
                <w:rFonts w:hint="eastAsia" w:hAnsi="宋体"/>
                <w:szCs w:val="21"/>
              </w:rPr>
              <w:t>吡嘧磺隆</w:t>
            </w:r>
          </w:p>
        </w:tc>
        <w:tc>
          <w:tcPr>
            <w:tcW w:w="1914" w:type="dxa"/>
          </w:tcPr>
          <w:p>
            <w:pPr>
              <w:rPr>
                <w:rFonts w:ascii="宋体"/>
                <w:szCs w:val="21"/>
              </w:rPr>
            </w:pPr>
            <w:r>
              <w:rPr>
                <w:rFonts w:hint="eastAsia"/>
                <w:szCs w:val="21"/>
              </w:rPr>
              <w:t>10%</w:t>
            </w:r>
          </w:p>
        </w:tc>
        <w:tc>
          <w:tcPr>
            <w:tcW w:w="1914" w:type="dxa"/>
          </w:tcPr>
          <w:p>
            <w:pPr>
              <w:jc w:val="left"/>
              <w:rPr>
                <w:rFonts w:ascii="宋体" w:hAnsi="宋体"/>
                <w:szCs w:val="21"/>
              </w:rPr>
            </w:pPr>
            <w:r>
              <w:rPr>
                <w:rFonts w:ascii="宋体" w:hAnsi="宋体"/>
                <w:szCs w:val="21"/>
              </w:rPr>
              <w:t>15 g</w:t>
            </w:r>
            <w:r>
              <w:rPr>
                <w:rFonts w:hint="eastAsia" w:ascii="宋体" w:hAnsi="宋体"/>
                <w:szCs w:val="21"/>
              </w:rPr>
              <w:t>～20</w:t>
            </w:r>
            <w:r>
              <w:rPr>
                <w:rFonts w:ascii="宋体" w:hAnsi="宋体"/>
                <w:szCs w:val="21"/>
              </w:rPr>
              <w:t>g</w:t>
            </w:r>
          </w:p>
        </w:tc>
        <w:tc>
          <w:tcPr>
            <w:tcW w:w="1914" w:type="dxa"/>
          </w:tcPr>
          <w:p>
            <w:pPr>
              <w:rPr>
                <w:rFonts w:ascii="宋体"/>
                <w:szCs w:val="21"/>
              </w:rPr>
            </w:pPr>
            <w:r>
              <w:rPr>
                <w:rFonts w:hint="eastAsia"/>
                <w:szCs w:val="21"/>
              </w:rPr>
              <w:t>撒施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14" w:type="dxa"/>
          </w:tcPr>
          <w:p>
            <w:pPr>
              <w:rPr>
                <w:rFonts w:ascii="宋体"/>
                <w:szCs w:val="21"/>
              </w:rPr>
            </w:pPr>
            <w:r>
              <w:rPr>
                <w:rFonts w:hint="eastAsia" w:ascii="宋体" w:hAnsi="宋体"/>
                <w:szCs w:val="21"/>
              </w:rPr>
              <w:t>失除田</w:t>
            </w:r>
            <w:r>
              <w:rPr>
                <w:rFonts w:hint="eastAsia" w:ascii="宋体"/>
                <w:szCs w:val="21"/>
              </w:rPr>
              <w:t>稗草</w:t>
            </w:r>
          </w:p>
        </w:tc>
        <w:tc>
          <w:tcPr>
            <w:tcW w:w="1914" w:type="dxa"/>
          </w:tcPr>
          <w:p>
            <w:pPr>
              <w:rPr>
                <w:szCs w:val="21"/>
              </w:rPr>
            </w:pPr>
            <w:r>
              <w:rPr>
                <w:rFonts w:hint="eastAsia" w:hAnsi="宋体"/>
                <w:szCs w:val="21"/>
              </w:rPr>
              <w:t>二氯喹啉酸</w:t>
            </w:r>
          </w:p>
        </w:tc>
        <w:tc>
          <w:tcPr>
            <w:tcW w:w="1914" w:type="dxa"/>
          </w:tcPr>
          <w:p>
            <w:pPr>
              <w:rPr>
                <w:szCs w:val="21"/>
              </w:rPr>
            </w:pPr>
            <w:r>
              <w:rPr>
                <w:rFonts w:hint="eastAsia"/>
                <w:szCs w:val="21"/>
              </w:rPr>
              <w:t>50%</w:t>
            </w:r>
          </w:p>
        </w:tc>
        <w:tc>
          <w:tcPr>
            <w:tcW w:w="1914" w:type="dxa"/>
          </w:tcPr>
          <w:p>
            <w:pPr>
              <w:jc w:val="left"/>
              <w:rPr>
                <w:rFonts w:ascii="宋体" w:hAnsi="宋体"/>
                <w:szCs w:val="21"/>
              </w:rPr>
            </w:pPr>
            <w:r>
              <w:rPr>
                <w:rFonts w:ascii="宋体" w:hAnsi="宋体"/>
                <w:szCs w:val="21"/>
              </w:rPr>
              <w:t>30 g</w:t>
            </w:r>
            <w:r>
              <w:rPr>
                <w:rFonts w:hint="eastAsia" w:ascii="宋体" w:hAnsi="宋体"/>
                <w:szCs w:val="21"/>
              </w:rPr>
              <w:t>～</w:t>
            </w:r>
            <w:r>
              <w:rPr>
                <w:rFonts w:ascii="宋体" w:hAnsi="宋体"/>
                <w:szCs w:val="21"/>
              </w:rPr>
              <w:t>50 g</w:t>
            </w:r>
          </w:p>
        </w:tc>
        <w:tc>
          <w:tcPr>
            <w:tcW w:w="1914" w:type="dxa"/>
          </w:tcPr>
          <w:p>
            <w:pPr>
              <w:rPr>
                <w:szCs w:val="21"/>
              </w:rPr>
            </w:pPr>
            <w:r>
              <w:rPr>
                <w:rFonts w:hint="eastAsia"/>
                <w:szCs w:val="21"/>
              </w:rPr>
              <w:t>喷雾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914" w:type="dxa"/>
          </w:tcPr>
          <w:p>
            <w:pPr>
              <w:rPr>
                <w:rFonts w:ascii="宋体" w:hAnsi="宋体"/>
                <w:szCs w:val="21"/>
              </w:rPr>
            </w:pPr>
            <w:r>
              <w:rPr>
                <w:rFonts w:hint="eastAsia" w:ascii="宋体" w:hAnsi="宋体"/>
                <w:szCs w:val="21"/>
              </w:rPr>
              <w:t>失除田千金子</w:t>
            </w:r>
          </w:p>
        </w:tc>
        <w:tc>
          <w:tcPr>
            <w:tcW w:w="1914" w:type="dxa"/>
          </w:tcPr>
          <w:p>
            <w:pPr>
              <w:rPr>
                <w:rFonts w:ascii="宋体" w:hAnsi="宋体"/>
                <w:szCs w:val="21"/>
              </w:rPr>
            </w:pPr>
            <w:r>
              <w:rPr>
                <w:rFonts w:hint="eastAsia" w:ascii="宋体" w:hAnsi="宋体"/>
                <w:szCs w:val="21"/>
              </w:rPr>
              <w:t>氰氟草酯</w:t>
            </w:r>
          </w:p>
        </w:tc>
        <w:tc>
          <w:tcPr>
            <w:tcW w:w="1914" w:type="dxa"/>
          </w:tcPr>
          <w:p>
            <w:pPr>
              <w:rPr>
                <w:rFonts w:ascii="宋体"/>
                <w:szCs w:val="21"/>
              </w:rPr>
            </w:pPr>
            <w:r>
              <w:rPr>
                <w:rFonts w:hint="eastAsia" w:ascii="宋体"/>
                <w:szCs w:val="21"/>
              </w:rPr>
              <w:t>10%</w:t>
            </w:r>
          </w:p>
        </w:tc>
        <w:tc>
          <w:tcPr>
            <w:tcW w:w="1914" w:type="dxa"/>
          </w:tcPr>
          <w:p>
            <w:pPr>
              <w:jc w:val="left"/>
              <w:rPr>
                <w:rFonts w:ascii="宋体" w:hAnsi="宋体"/>
                <w:szCs w:val="21"/>
              </w:rPr>
            </w:pPr>
            <w:r>
              <w:rPr>
                <w:rFonts w:hint="eastAsia" w:ascii="宋体" w:hAnsi="宋体"/>
                <w:szCs w:val="21"/>
              </w:rPr>
              <w:t>50 ml～60 ml</w:t>
            </w:r>
          </w:p>
        </w:tc>
        <w:tc>
          <w:tcPr>
            <w:tcW w:w="1914" w:type="dxa"/>
          </w:tcPr>
          <w:p>
            <w:pPr>
              <w:rPr>
                <w:rFonts w:ascii="宋体"/>
                <w:szCs w:val="21"/>
              </w:rPr>
            </w:pPr>
            <w:r>
              <w:rPr>
                <w:rFonts w:hint="eastAsia" w:ascii="宋体"/>
                <w:szCs w:val="21"/>
              </w:rPr>
              <w:t>喷雾</w:t>
            </w:r>
          </w:p>
        </w:tc>
      </w:tr>
    </w:tbl>
    <w:p>
      <w:pPr>
        <w:pStyle w:val="58"/>
        <w:spacing w:before="312" w:after="312"/>
      </w:pPr>
      <w:r>
        <w:rPr>
          <w:rFonts w:hint="eastAsia"/>
        </w:rPr>
        <w:t>收割</w:t>
      </w:r>
    </w:p>
    <w:p>
      <w:pPr>
        <w:pStyle w:val="58"/>
        <w:numPr>
          <w:ilvl w:val="0"/>
          <w:numId w:val="0"/>
        </w:numPr>
        <w:spacing w:before="312" w:after="312"/>
        <w:ind w:left="210" w:leftChars="100" w:firstLine="210" w:firstLineChars="100"/>
        <w:rPr>
          <w:rFonts w:ascii="宋体" w:hAnsi="宋体" w:eastAsia="宋体"/>
        </w:rPr>
      </w:pPr>
      <w:r>
        <w:rPr>
          <w:rFonts w:hint="eastAsia" w:ascii="宋体" w:hAnsi="宋体" w:eastAsia="宋体"/>
        </w:rPr>
        <w:t>当全田90%的谷粒黄熟时，应及时收割。</w:t>
      </w:r>
    </w:p>
    <w:p>
      <w:pPr>
        <w:pStyle w:val="58"/>
        <w:spacing w:before="312" w:after="312"/>
      </w:pPr>
      <w:r>
        <w:rPr>
          <w:rFonts w:hint="eastAsia"/>
        </w:rPr>
        <w:t>生产档案</w:t>
      </w:r>
    </w:p>
    <w:p>
      <w:pPr>
        <w:pStyle w:val="20"/>
        <w:sectPr>
          <w:pgSz w:w="11906" w:h="16838"/>
          <w:pgMar w:top="567" w:right="1134" w:bottom="1134" w:left="1418" w:header="1418" w:footer="1134" w:gutter="0"/>
          <w:pgNumType w:start="1"/>
          <w:cols w:space="720" w:num="1"/>
          <w:formProt w:val="0"/>
          <w:docGrid w:type="lines" w:linePitch="312" w:charSpace="0"/>
        </w:sectPr>
      </w:pPr>
      <w:r>
        <w:rPr>
          <w:rFonts w:hint="eastAsia"/>
        </w:rPr>
        <w:t>应建立完整的生产档案，保存时间不少于2年。</w:t>
      </w:r>
    </w:p>
    <w:p>
      <w:pPr>
        <w:pStyle w:val="107"/>
      </w:pPr>
    </w:p>
    <w:p>
      <w:pPr>
        <w:pStyle w:val="81"/>
      </w:pPr>
    </w:p>
    <w:tbl>
      <w:tblPr>
        <w:tblStyle w:val="35"/>
        <w:tblpPr w:leftFromText="180" w:rightFromText="180" w:vertAnchor="text" w:horzAnchor="margin" w:tblpY="1890"/>
        <w:tblW w:w="1955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88"/>
        <w:gridCol w:w="1021"/>
        <w:gridCol w:w="416"/>
        <w:gridCol w:w="400"/>
        <w:gridCol w:w="817"/>
        <w:gridCol w:w="817"/>
        <w:gridCol w:w="817"/>
        <w:gridCol w:w="817"/>
        <w:gridCol w:w="817"/>
        <w:gridCol w:w="817"/>
        <w:gridCol w:w="817"/>
        <w:gridCol w:w="724"/>
        <w:gridCol w:w="93"/>
        <w:gridCol w:w="815"/>
        <w:gridCol w:w="815"/>
        <w:gridCol w:w="815"/>
        <w:gridCol w:w="162"/>
        <w:gridCol w:w="652"/>
        <w:gridCol w:w="818"/>
        <w:gridCol w:w="60"/>
        <w:gridCol w:w="755"/>
        <w:gridCol w:w="815"/>
        <w:gridCol w:w="815"/>
        <w:gridCol w:w="815"/>
        <w:gridCol w:w="815"/>
        <w:gridCol w:w="935"/>
        <w:gridCol w:w="9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5" w:hRule="atLeast"/>
        </w:trPr>
        <w:tc>
          <w:tcPr>
            <w:tcW w:w="1188" w:type="dxa"/>
            <w:tcBorders>
              <w:right w:val="single" w:color="auto" w:sz="12" w:space="0"/>
            </w:tcBorders>
            <w:vAlign w:val="center"/>
          </w:tcPr>
          <w:p>
            <w:pPr>
              <w:jc w:val="center"/>
              <w:rPr>
                <w:sz w:val="18"/>
                <w:szCs w:val="18"/>
              </w:rPr>
            </w:pPr>
            <w:r>
              <w:rPr>
                <w:rFonts w:hint="eastAsia"/>
                <w:sz w:val="18"/>
                <w:szCs w:val="18"/>
              </w:rPr>
              <w:t>月份</w:t>
            </w:r>
          </w:p>
        </w:tc>
        <w:tc>
          <w:tcPr>
            <w:tcW w:w="2654" w:type="dxa"/>
            <w:gridSpan w:val="4"/>
            <w:tcBorders>
              <w:left w:val="single" w:color="auto" w:sz="12" w:space="0"/>
            </w:tcBorders>
            <w:vAlign w:val="center"/>
          </w:tcPr>
          <w:p>
            <w:pPr>
              <w:jc w:val="center"/>
              <w:rPr>
                <w:sz w:val="18"/>
                <w:szCs w:val="18"/>
              </w:rPr>
            </w:pPr>
            <w:r>
              <w:rPr>
                <w:rFonts w:hint="eastAsia"/>
                <w:sz w:val="18"/>
                <w:szCs w:val="18"/>
              </w:rPr>
              <w:t>五月</w:t>
            </w:r>
          </w:p>
        </w:tc>
        <w:tc>
          <w:tcPr>
            <w:tcW w:w="2451" w:type="dxa"/>
            <w:gridSpan w:val="3"/>
            <w:vAlign w:val="center"/>
          </w:tcPr>
          <w:p>
            <w:pPr>
              <w:jc w:val="center"/>
              <w:rPr>
                <w:sz w:val="18"/>
                <w:szCs w:val="18"/>
              </w:rPr>
            </w:pPr>
            <w:r>
              <w:rPr>
                <w:rFonts w:hint="eastAsia"/>
                <w:sz w:val="18"/>
                <w:szCs w:val="18"/>
              </w:rPr>
              <w:t>六月</w:t>
            </w:r>
          </w:p>
        </w:tc>
        <w:tc>
          <w:tcPr>
            <w:tcW w:w="2451" w:type="dxa"/>
            <w:gridSpan w:val="3"/>
            <w:vAlign w:val="center"/>
          </w:tcPr>
          <w:p>
            <w:pPr>
              <w:jc w:val="center"/>
              <w:rPr>
                <w:sz w:val="18"/>
                <w:szCs w:val="18"/>
              </w:rPr>
            </w:pPr>
            <w:r>
              <w:rPr>
                <w:rFonts w:hint="eastAsia"/>
                <w:sz w:val="18"/>
                <w:szCs w:val="18"/>
              </w:rPr>
              <w:t>七月</w:t>
            </w:r>
          </w:p>
        </w:tc>
        <w:tc>
          <w:tcPr>
            <w:tcW w:w="2447" w:type="dxa"/>
            <w:gridSpan w:val="4"/>
            <w:vAlign w:val="center"/>
          </w:tcPr>
          <w:p>
            <w:pPr>
              <w:jc w:val="center"/>
              <w:rPr>
                <w:sz w:val="18"/>
                <w:szCs w:val="18"/>
              </w:rPr>
            </w:pPr>
            <w:r>
              <w:rPr>
                <w:rFonts w:hint="eastAsia"/>
                <w:sz w:val="18"/>
                <w:szCs w:val="18"/>
              </w:rPr>
              <w:t>八月</w:t>
            </w:r>
          </w:p>
        </w:tc>
        <w:tc>
          <w:tcPr>
            <w:tcW w:w="2447" w:type="dxa"/>
            <w:gridSpan w:val="4"/>
            <w:vAlign w:val="center"/>
          </w:tcPr>
          <w:p>
            <w:pPr>
              <w:jc w:val="center"/>
              <w:rPr>
                <w:sz w:val="18"/>
                <w:szCs w:val="18"/>
              </w:rPr>
            </w:pPr>
            <w:r>
              <w:rPr>
                <w:rFonts w:hint="eastAsia"/>
                <w:sz w:val="18"/>
                <w:szCs w:val="18"/>
              </w:rPr>
              <w:t>九月</w:t>
            </w:r>
          </w:p>
        </w:tc>
        <w:tc>
          <w:tcPr>
            <w:tcW w:w="2445" w:type="dxa"/>
            <w:gridSpan w:val="4"/>
            <w:vAlign w:val="center"/>
          </w:tcPr>
          <w:p>
            <w:pPr>
              <w:jc w:val="center"/>
              <w:rPr>
                <w:sz w:val="18"/>
                <w:szCs w:val="18"/>
              </w:rPr>
            </w:pPr>
            <w:r>
              <w:rPr>
                <w:rFonts w:hint="eastAsia"/>
                <w:sz w:val="18"/>
                <w:szCs w:val="18"/>
              </w:rPr>
              <w:t>十月</w:t>
            </w:r>
          </w:p>
        </w:tc>
        <w:tc>
          <w:tcPr>
            <w:tcW w:w="2565" w:type="dxa"/>
            <w:gridSpan w:val="3"/>
            <w:vAlign w:val="center"/>
          </w:tcPr>
          <w:p>
            <w:pPr>
              <w:jc w:val="center"/>
              <w:rPr>
                <w:sz w:val="18"/>
                <w:szCs w:val="18"/>
              </w:rPr>
            </w:pPr>
            <w:r>
              <w:rPr>
                <w:rFonts w:hint="eastAsia"/>
                <w:sz w:val="18"/>
                <w:szCs w:val="18"/>
              </w:rPr>
              <w:t>十一月</w:t>
            </w:r>
          </w:p>
        </w:tc>
        <w:tc>
          <w:tcPr>
            <w:tcW w:w="906" w:type="dxa"/>
            <w:vAlign w:val="center"/>
          </w:tcPr>
          <w:p>
            <w:pPr>
              <w:jc w:val="center"/>
              <w:rPr>
                <w:sz w:val="18"/>
                <w:szCs w:val="18"/>
              </w:rPr>
            </w:pPr>
            <w:r>
              <w:rPr>
                <w:rFonts w:hint="eastAsia"/>
                <w:sz w:val="18"/>
                <w:szCs w:val="18"/>
              </w:rPr>
              <w:t>十二月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0" w:hRule="atLeast"/>
        </w:trPr>
        <w:tc>
          <w:tcPr>
            <w:tcW w:w="1188" w:type="dxa"/>
            <w:tcBorders>
              <w:right w:val="single" w:color="auto" w:sz="12" w:space="0"/>
            </w:tcBorders>
            <w:vAlign w:val="center"/>
          </w:tcPr>
          <w:p>
            <w:pPr>
              <w:jc w:val="center"/>
              <w:rPr>
                <w:sz w:val="18"/>
                <w:szCs w:val="18"/>
              </w:rPr>
            </w:pPr>
            <w:r>
              <w:rPr>
                <w:rFonts w:hint="eastAsia"/>
                <w:sz w:val="18"/>
                <w:szCs w:val="18"/>
              </w:rPr>
              <w:t>旬别</w:t>
            </w:r>
          </w:p>
        </w:tc>
        <w:tc>
          <w:tcPr>
            <w:tcW w:w="1021" w:type="dxa"/>
            <w:tcBorders>
              <w:left w:val="single" w:color="auto" w:sz="12" w:space="0"/>
            </w:tcBorders>
            <w:vAlign w:val="center"/>
          </w:tcPr>
          <w:p>
            <w:pPr>
              <w:jc w:val="center"/>
              <w:rPr>
                <w:sz w:val="18"/>
                <w:szCs w:val="18"/>
              </w:rPr>
            </w:pPr>
            <w:r>
              <w:rPr>
                <w:rFonts w:hint="eastAsia"/>
                <w:sz w:val="18"/>
                <w:szCs w:val="18"/>
              </w:rPr>
              <w:t>上 旬</w:t>
            </w:r>
          </w:p>
        </w:tc>
        <w:tc>
          <w:tcPr>
            <w:tcW w:w="816" w:type="dxa"/>
            <w:gridSpan w:val="2"/>
            <w:vAlign w:val="center"/>
          </w:tcPr>
          <w:p>
            <w:pPr>
              <w:jc w:val="center"/>
              <w:rPr>
                <w:sz w:val="18"/>
                <w:szCs w:val="18"/>
              </w:rPr>
            </w:pPr>
            <w:r>
              <w:rPr>
                <w:rFonts w:hint="eastAsia"/>
                <w:sz w:val="18"/>
                <w:szCs w:val="18"/>
              </w:rPr>
              <w:t>中 旬</w:t>
            </w:r>
          </w:p>
        </w:tc>
        <w:tc>
          <w:tcPr>
            <w:tcW w:w="817" w:type="dxa"/>
            <w:vAlign w:val="center"/>
          </w:tcPr>
          <w:p>
            <w:pPr>
              <w:jc w:val="center"/>
              <w:rPr>
                <w:sz w:val="18"/>
                <w:szCs w:val="18"/>
              </w:rPr>
            </w:pPr>
            <w:r>
              <w:rPr>
                <w:rFonts w:hint="eastAsia"/>
                <w:sz w:val="18"/>
                <w:szCs w:val="18"/>
              </w:rPr>
              <w:t>下 旬</w:t>
            </w:r>
          </w:p>
        </w:tc>
        <w:tc>
          <w:tcPr>
            <w:tcW w:w="817" w:type="dxa"/>
            <w:vAlign w:val="center"/>
          </w:tcPr>
          <w:p>
            <w:pPr>
              <w:jc w:val="center"/>
              <w:rPr>
                <w:sz w:val="18"/>
                <w:szCs w:val="18"/>
              </w:rPr>
            </w:pPr>
            <w:r>
              <w:rPr>
                <w:rFonts w:hint="eastAsia"/>
                <w:sz w:val="18"/>
                <w:szCs w:val="18"/>
              </w:rPr>
              <w:t>上 旬</w:t>
            </w:r>
          </w:p>
        </w:tc>
        <w:tc>
          <w:tcPr>
            <w:tcW w:w="817" w:type="dxa"/>
            <w:vAlign w:val="center"/>
          </w:tcPr>
          <w:p>
            <w:pPr>
              <w:jc w:val="center"/>
              <w:rPr>
                <w:sz w:val="18"/>
                <w:szCs w:val="18"/>
              </w:rPr>
            </w:pPr>
            <w:r>
              <w:rPr>
                <w:rFonts w:hint="eastAsia"/>
                <w:sz w:val="18"/>
                <w:szCs w:val="18"/>
              </w:rPr>
              <w:t>中 旬</w:t>
            </w:r>
          </w:p>
        </w:tc>
        <w:tc>
          <w:tcPr>
            <w:tcW w:w="817" w:type="dxa"/>
            <w:vAlign w:val="center"/>
          </w:tcPr>
          <w:p>
            <w:pPr>
              <w:jc w:val="center"/>
              <w:rPr>
                <w:sz w:val="18"/>
                <w:szCs w:val="18"/>
              </w:rPr>
            </w:pPr>
            <w:r>
              <w:rPr>
                <w:rFonts w:hint="eastAsia"/>
                <w:sz w:val="18"/>
                <w:szCs w:val="18"/>
              </w:rPr>
              <w:t>下 旬</w:t>
            </w:r>
          </w:p>
        </w:tc>
        <w:tc>
          <w:tcPr>
            <w:tcW w:w="817" w:type="dxa"/>
            <w:vAlign w:val="center"/>
          </w:tcPr>
          <w:p>
            <w:pPr>
              <w:jc w:val="center"/>
              <w:rPr>
                <w:sz w:val="18"/>
                <w:szCs w:val="18"/>
              </w:rPr>
            </w:pPr>
            <w:r>
              <w:rPr>
                <w:rFonts w:hint="eastAsia"/>
                <w:sz w:val="18"/>
                <w:szCs w:val="18"/>
              </w:rPr>
              <w:t>上 旬</w:t>
            </w:r>
          </w:p>
        </w:tc>
        <w:tc>
          <w:tcPr>
            <w:tcW w:w="817" w:type="dxa"/>
            <w:vAlign w:val="center"/>
          </w:tcPr>
          <w:p>
            <w:pPr>
              <w:jc w:val="center"/>
              <w:rPr>
                <w:sz w:val="18"/>
                <w:szCs w:val="18"/>
              </w:rPr>
            </w:pPr>
            <w:r>
              <w:rPr>
                <w:rFonts w:hint="eastAsia"/>
                <w:sz w:val="18"/>
                <w:szCs w:val="18"/>
              </w:rPr>
              <w:t>中 旬</w:t>
            </w:r>
          </w:p>
        </w:tc>
        <w:tc>
          <w:tcPr>
            <w:tcW w:w="817" w:type="dxa"/>
            <w:vAlign w:val="center"/>
          </w:tcPr>
          <w:p>
            <w:pPr>
              <w:jc w:val="center"/>
              <w:rPr>
                <w:sz w:val="18"/>
                <w:szCs w:val="18"/>
              </w:rPr>
            </w:pPr>
            <w:r>
              <w:rPr>
                <w:rFonts w:hint="eastAsia"/>
                <w:sz w:val="18"/>
                <w:szCs w:val="18"/>
              </w:rPr>
              <w:t>下 旬</w:t>
            </w:r>
          </w:p>
        </w:tc>
        <w:tc>
          <w:tcPr>
            <w:tcW w:w="817" w:type="dxa"/>
            <w:gridSpan w:val="2"/>
            <w:vAlign w:val="center"/>
          </w:tcPr>
          <w:p>
            <w:pPr>
              <w:jc w:val="center"/>
              <w:rPr>
                <w:sz w:val="18"/>
                <w:szCs w:val="18"/>
              </w:rPr>
            </w:pPr>
            <w:r>
              <w:rPr>
                <w:rFonts w:hint="eastAsia"/>
                <w:sz w:val="18"/>
                <w:szCs w:val="18"/>
              </w:rPr>
              <w:t>上 旬</w:t>
            </w:r>
          </w:p>
        </w:tc>
        <w:tc>
          <w:tcPr>
            <w:tcW w:w="815" w:type="dxa"/>
            <w:vAlign w:val="center"/>
          </w:tcPr>
          <w:p>
            <w:pPr>
              <w:jc w:val="center"/>
              <w:rPr>
                <w:sz w:val="18"/>
                <w:szCs w:val="18"/>
              </w:rPr>
            </w:pPr>
            <w:r>
              <w:rPr>
                <w:rFonts w:hint="eastAsia"/>
                <w:sz w:val="18"/>
                <w:szCs w:val="18"/>
              </w:rPr>
              <w:t>中 旬</w:t>
            </w:r>
          </w:p>
        </w:tc>
        <w:tc>
          <w:tcPr>
            <w:tcW w:w="815" w:type="dxa"/>
            <w:vAlign w:val="center"/>
          </w:tcPr>
          <w:p>
            <w:pPr>
              <w:jc w:val="center"/>
              <w:rPr>
                <w:sz w:val="18"/>
                <w:szCs w:val="18"/>
              </w:rPr>
            </w:pPr>
            <w:r>
              <w:rPr>
                <w:rFonts w:hint="eastAsia"/>
                <w:sz w:val="18"/>
                <w:szCs w:val="18"/>
              </w:rPr>
              <w:t>下 旬</w:t>
            </w:r>
          </w:p>
        </w:tc>
        <w:tc>
          <w:tcPr>
            <w:tcW w:w="815" w:type="dxa"/>
            <w:vAlign w:val="center"/>
          </w:tcPr>
          <w:p>
            <w:pPr>
              <w:jc w:val="center"/>
              <w:rPr>
                <w:sz w:val="18"/>
                <w:szCs w:val="18"/>
              </w:rPr>
            </w:pPr>
            <w:r>
              <w:rPr>
                <w:rFonts w:hint="eastAsia"/>
                <w:sz w:val="18"/>
                <w:szCs w:val="18"/>
              </w:rPr>
              <w:t>上 旬</w:t>
            </w:r>
          </w:p>
        </w:tc>
        <w:tc>
          <w:tcPr>
            <w:tcW w:w="814" w:type="dxa"/>
            <w:gridSpan w:val="2"/>
            <w:vAlign w:val="center"/>
          </w:tcPr>
          <w:p>
            <w:pPr>
              <w:jc w:val="center"/>
              <w:rPr>
                <w:sz w:val="18"/>
                <w:szCs w:val="18"/>
              </w:rPr>
            </w:pPr>
            <w:r>
              <w:rPr>
                <w:rFonts w:hint="eastAsia"/>
                <w:sz w:val="18"/>
                <w:szCs w:val="18"/>
              </w:rPr>
              <w:t>中 旬</w:t>
            </w:r>
          </w:p>
        </w:tc>
        <w:tc>
          <w:tcPr>
            <w:tcW w:w="818" w:type="dxa"/>
            <w:vAlign w:val="center"/>
          </w:tcPr>
          <w:p>
            <w:pPr>
              <w:jc w:val="center"/>
              <w:rPr>
                <w:sz w:val="18"/>
                <w:szCs w:val="18"/>
              </w:rPr>
            </w:pPr>
            <w:r>
              <w:rPr>
                <w:rFonts w:hint="eastAsia"/>
                <w:sz w:val="18"/>
                <w:szCs w:val="18"/>
              </w:rPr>
              <w:t>下 旬</w:t>
            </w:r>
          </w:p>
        </w:tc>
        <w:tc>
          <w:tcPr>
            <w:tcW w:w="815" w:type="dxa"/>
            <w:gridSpan w:val="2"/>
            <w:vAlign w:val="center"/>
          </w:tcPr>
          <w:p>
            <w:pPr>
              <w:jc w:val="center"/>
              <w:rPr>
                <w:sz w:val="18"/>
                <w:szCs w:val="18"/>
              </w:rPr>
            </w:pPr>
            <w:r>
              <w:rPr>
                <w:rFonts w:hint="eastAsia"/>
                <w:sz w:val="18"/>
                <w:szCs w:val="18"/>
              </w:rPr>
              <w:t>上 旬</w:t>
            </w:r>
          </w:p>
        </w:tc>
        <w:tc>
          <w:tcPr>
            <w:tcW w:w="815" w:type="dxa"/>
            <w:vAlign w:val="center"/>
          </w:tcPr>
          <w:p>
            <w:pPr>
              <w:jc w:val="center"/>
              <w:rPr>
                <w:sz w:val="18"/>
                <w:szCs w:val="18"/>
              </w:rPr>
            </w:pPr>
            <w:r>
              <w:rPr>
                <w:rFonts w:hint="eastAsia"/>
                <w:sz w:val="18"/>
                <w:szCs w:val="18"/>
              </w:rPr>
              <w:t>中 旬</w:t>
            </w:r>
          </w:p>
        </w:tc>
        <w:tc>
          <w:tcPr>
            <w:tcW w:w="815" w:type="dxa"/>
            <w:vAlign w:val="center"/>
          </w:tcPr>
          <w:p>
            <w:pPr>
              <w:jc w:val="center"/>
              <w:rPr>
                <w:sz w:val="18"/>
                <w:szCs w:val="18"/>
              </w:rPr>
            </w:pPr>
            <w:r>
              <w:rPr>
                <w:rFonts w:hint="eastAsia"/>
                <w:sz w:val="18"/>
                <w:szCs w:val="18"/>
              </w:rPr>
              <w:t>下 旬</w:t>
            </w:r>
          </w:p>
        </w:tc>
        <w:tc>
          <w:tcPr>
            <w:tcW w:w="815" w:type="dxa"/>
            <w:vAlign w:val="center"/>
          </w:tcPr>
          <w:p>
            <w:pPr>
              <w:jc w:val="center"/>
              <w:rPr>
                <w:sz w:val="18"/>
                <w:szCs w:val="18"/>
              </w:rPr>
            </w:pPr>
            <w:r>
              <w:rPr>
                <w:rFonts w:hint="eastAsia"/>
                <w:sz w:val="18"/>
                <w:szCs w:val="18"/>
              </w:rPr>
              <w:t>上 旬</w:t>
            </w:r>
          </w:p>
        </w:tc>
        <w:tc>
          <w:tcPr>
            <w:tcW w:w="815" w:type="dxa"/>
            <w:vAlign w:val="center"/>
          </w:tcPr>
          <w:p>
            <w:pPr>
              <w:jc w:val="center"/>
              <w:rPr>
                <w:sz w:val="18"/>
                <w:szCs w:val="18"/>
              </w:rPr>
            </w:pPr>
            <w:r>
              <w:rPr>
                <w:rFonts w:hint="eastAsia"/>
                <w:sz w:val="18"/>
                <w:szCs w:val="18"/>
              </w:rPr>
              <w:t>中 旬</w:t>
            </w:r>
          </w:p>
        </w:tc>
        <w:tc>
          <w:tcPr>
            <w:tcW w:w="935" w:type="dxa"/>
            <w:vAlign w:val="center"/>
          </w:tcPr>
          <w:p>
            <w:pPr>
              <w:jc w:val="center"/>
              <w:rPr>
                <w:sz w:val="18"/>
                <w:szCs w:val="18"/>
              </w:rPr>
            </w:pPr>
            <w:r>
              <w:rPr>
                <w:rFonts w:hint="eastAsia"/>
                <w:sz w:val="18"/>
                <w:szCs w:val="18"/>
              </w:rPr>
              <w:t>下 旬</w:t>
            </w:r>
          </w:p>
        </w:tc>
        <w:tc>
          <w:tcPr>
            <w:tcW w:w="906" w:type="dxa"/>
            <w:vAlign w:val="center"/>
          </w:tcPr>
          <w:p>
            <w:pPr>
              <w:jc w:val="center"/>
              <w:rPr>
                <w:sz w:val="18"/>
                <w:szCs w:val="18"/>
              </w:rPr>
            </w:pPr>
            <w:r>
              <w:rPr>
                <w:rFonts w:hint="eastAsia"/>
                <w:sz w:val="18"/>
                <w:szCs w:val="18"/>
              </w:rPr>
              <w:t>上 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8" w:hRule="atLeast"/>
        </w:trPr>
        <w:tc>
          <w:tcPr>
            <w:tcW w:w="1188" w:type="dxa"/>
            <w:tcBorders>
              <w:right w:val="single" w:color="auto" w:sz="12" w:space="0"/>
            </w:tcBorders>
            <w:vAlign w:val="center"/>
          </w:tcPr>
          <w:p>
            <w:pPr>
              <w:jc w:val="center"/>
              <w:rPr>
                <w:sz w:val="18"/>
                <w:szCs w:val="18"/>
              </w:rPr>
            </w:pPr>
            <w:r>
              <w:rPr>
                <w:rFonts w:hint="eastAsia"/>
                <w:sz w:val="18"/>
                <w:szCs w:val="18"/>
              </w:rPr>
              <w:t>节气</w:t>
            </w:r>
          </w:p>
        </w:tc>
        <w:tc>
          <w:tcPr>
            <w:tcW w:w="18366" w:type="dxa"/>
            <w:gridSpan w:val="26"/>
            <w:tcBorders>
              <w:left w:val="single" w:color="auto" w:sz="12" w:space="0"/>
            </w:tcBorders>
            <w:vAlign w:val="center"/>
          </w:tcPr>
          <w:p>
            <w:pPr>
              <w:ind w:left="147"/>
              <w:rPr>
                <w:sz w:val="18"/>
                <w:szCs w:val="18"/>
              </w:rPr>
            </w:pPr>
            <w:r>
              <w:rPr>
                <w:rFonts w:hint="eastAsia"/>
                <w:sz w:val="18"/>
                <w:szCs w:val="18"/>
              </w:rPr>
              <w:t>立夏             小满       芒种            夏至        小暑            大暑       立秋            处暑        白露            秋分        寒露           霜降        立冬           小雪         大雪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5" w:hRule="atLeast"/>
        </w:trPr>
        <w:tc>
          <w:tcPr>
            <w:tcW w:w="1188" w:type="dxa"/>
            <w:tcBorders>
              <w:right w:val="single" w:color="auto" w:sz="12" w:space="0"/>
            </w:tcBorders>
            <w:vAlign w:val="center"/>
          </w:tcPr>
          <w:p>
            <w:pPr>
              <w:jc w:val="center"/>
              <w:rPr>
                <w:sz w:val="18"/>
                <w:szCs w:val="18"/>
              </w:rPr>
            </w:pPr>
            <w:r>
              <w:rPr>
                <w:rFonts w:hint="eastAsia"/>
                <w:sz w:val="18"/>
                <w:szCs w:val="18"/>
              </w:rPr>
              <w:t>概要</w:t>
            </w:r>
          </w:p>
        </w:tc>
        <w:tc>
          <w:tcPr>
            <w:tcW w:w="18366" w:type="dxa"/>
            <w:gridSpan w:val="26"/>
            <w:tcBorders>
              <w:left w:val="single" w:color="auto" w:sz="12" w:space="0"/>
            </w:tcBorders>
            <w:vAlign w:val="center"/>
          </w:tcPr>
          <w:p>
            <w:pPr>
              <w:ind w:left="510"/>
              <w:rPr>
                <w:rFonts w:ascii="_x000B__x000C_" w:hAnsi="_x000B__x000C_"/>
                <w:sz w:val="18"/>
                <w:szCs w:val="18"/>
              </w:rPr>
            </w:pPr>
            <w:r>
              <w:rPr>
                <w:rFonts w:hint="eastAsia" w:ascii="_x000B__x000C_" w:hAnsi="_x000B__x000C_"/>
                <w:sz w:val="18"/>
                <w:szCs w:val="18"/>
              </w:rPr>
              <w:t>品种：甬优12     移栽方式：机械插秧、人工插秧   总用肥量：纯氮15 kg</w:t>
            </w:r>
            <w:r>
              <w:rPr>
                <w:rFonts w:hint="eastAsia"/>
                <w:sz w:val="18"/>
                <w:szCs w:val="18"/>
              </w:rPr>
              <w:t>～</w:t>
            </w:r>
            <w:r>
              <w:rPr>
                <w:rFonts w:hint="eastAsia" w:ascii="宋体" w:hAnsi="宋体"/>
                <w:sz w:val="18"/>
                <w:szCs w:val="18"/>
              </w:rPr>
              <w:t>17 kg /667m</w:t>
            </w:r>
            <w:r>
              <w:rPr>
                <w:rFonts w:hint="eastAsia" w:ascii="宋体" w:hAnsi="宋体"/>
                <w:sz w:val="18"/>
                <w:szCs w:val="18"/>
                <w:vertAlign w:val="superscript"/>
              </w:rPr>
              <w:t>2</w:t>
            </w:r>
            <w:r>
              <w:rPr>
                <w:rFonts w:hint="eastAsia" w:ascii="_x000B__x000C_" w:hAnsi="_x000B__x000C_"/>
                <w:sz w:val="18"/>
                <w:szCs w:val="18"/>
              </w:rPr>
              <w:t xml:space="preserve">    氮：磷：钾为1：0.3：1    基肥：苗肥：穗肥为2.5：4.5：3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5" w:hRule="atLeast"/>
        </w:trPr>
        <w:tc>
          <w:tcPr>
            <w:tcW w:w="1188" w:type="dxa"/>
            <w:tcBorders>
              <w:right w:val="single" w:color="auto" w:sz="12" w:space="0"/>
            </w:tcBorders>
            <w:vAlign w:val="center"/>
          </w:tcPr>
          <w:p>
            <w:pPr>
              <w:jc w:val="center"/>
              <w:rPr>
                <w:sz w:val="18"/>
                <w:szCs w:val="18"/>
              </w:rPr>
            </w:pPr>
            <w:r>
              <w:rPr>
                <w:rFonts w:hint="eastAsia"/>
                <w:sz w:val="18"/>
                <w:szCs w:val="18"/>
              </w:rPr>
              <w:t>生育阶段</w:t>
            </w:r>
          </w:p>
        </w:tc>
        <w:tc>
          <w:tcPr>
            <w:tcW w:w="8280" w:type="dxa"/>
            <w:gridSpan w:val="11"/>
            <w:tcBorders>
              <w:left w:val="single" w:color="auto" w:sz="12" w:space="0"/>
            </w:tcBorders>
            <w:vAlign w:val="center"/>
          </w:tcPr>
          <w:p>
            <w:pPr>
              <w:jc w:val="center"/>
              <w:rPr>
                <w:sz w:val="18"/>
                <w:szCs w:val="18"/>
              </w:rPr>
            </w:pPr>
            <w:r>
              <w:rPr>
                <w:rFonts w:hint="eastAsia" w:ascii="_x000B__x000C_" w:hAnsi="_x000B__x000C_"/>
                <w:sz w:val="18"/>
                <w:szCs w:val="18"/>
              </w:rPr>
              <w:t>营养生长阶段</w:t>
            </w:r>
          </w:p>
        </w:tc>
        <w:tc>
          <w:tcPr>
            <w:tcW w:w="2700" w:type="dxa"/>
            <w:gridSpan w:val="5"/>
            <w:vAlign w:val="center"/>
          </w:tcPr>
          <w:p>
            <w:pPr>
              <w:rPr>
                <w:sz w:val="18"/>
                <w:szCs w:val="18"/>
              </w:rPr>
            </w:pPr>
            <w:r>
              <w:rPr>
                <w:rFonts w:hint="eastAsia" w:ascii="_x000B__x000C_" w:hAnsi="_x000B__x000C_"/>
                <w:sz w:val="18"/>
                <w:szCs w:val="18"/>
              </w:rPr>
              <w:t>营养生长与生殖生长并进阶段</w:t>
            </w:r>
          </w:p>
        </w:tc>
        <w:tc>
          <w:tcPr>
            <w:tcW w:w="7386" w:type="dxa"/>
            <w:gridSpan w:val="10"/>
            <w:vAlign w:val="center"/>
          </w:tcPr>
          <w:p>
            <w:pPr>
              <w:jc w:val="center"/>
              <w:rPr>
                <w:sz w:val="18"/>
                <w:szCs w:val="18"/>
              </w:rPr>
            </w:pPr>
            <w:r>
              <w:rPr>
                <w:rFonts w:hint="eastAsia" w:ascii="_x000B__x000C_" w:hAnsi="_x000B__x000C_"/>
                <w:sz w:val="18"/>
                <w:szCs w:val="18"/>
              </w:rPr>
              <w:t>生殖生长阶段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4" w:hRule="atLeast"/>
        </w:trPr>
        <w:tc>
          <w:tcPr>
            <w:tcW w:w="1188" w:type="dxa"/>
            <w:tcBorders>
              <w:right w:val="single" w:color="auto" w:sz="12" w:space="0"/>
            </w:tcBorders>
            <w:vAlign w:val="center"/>
          </w:tcPr>
          <w:p>
            <w:pPr>
              <w:jc w:val="center"/>
              <w:rPr>
                <w:kern w:val="10"/>
                <w:sz w:val="18"/>
                <w:szCs w:val="18"/>
              </w:rPr>
            </w:pPr>
            <w:r>
              <w:rPr>
                <w:rFonts w:hint="eastAsia"/>
                <w:kern w:val="10"/>
                <w:sz w:val="18"/>
                <w:szCs w:val="18"/>
              </w:rPr>
              <w:t>主攻目标</w:t>
            </w:r>
          </w:p>
        </w:tc>
        <w:tc>
          <w:tcPr>
            <w:tcW w:w="1437" w:type="dxa"/>
            <w:gridSpan w:val="2"/>
            <w:tcBorders>
              <w:left w:val="single" w:color="auto" w:sz="12" w:space="0"/>
            </w:tcBorders>
            <w:vAlign w:val="center"/>
          </w:tcPr>
          <w:p>
            <w:pPr>
              <w:jc w:val="center"/>
              <w:rPr>
                <w:sz w:val="18"/>
                <w:szCs w:val="18"/>
              </w:rPr>
            </w:pPr>
            <w:r>
              <w:rPr>
                <w:rFonts w:hint="eastAsia"/>
                <w:sz w:val="18"/>
                <w:szCs w:val="18"/>
              </w:rPr>
              <w:t>播前准备</w:t>
            </w:r>
          </w:p>
        </w:tc>
        <w:tc>
          <w:tcPr>
            <w:tcW w:w="1217" w:type="dxa"/>
            <w:gridSpan w:val="2"/>
            <w:vAlign w:val="center"/>
          </w:tcPr>
          <w:p>
            <w:pPr>
              <w:jc w:val="center"/>
              <w:rPr>
                <w:sz w:val="18"/>
                <w:szCs w:val="21"/>
              </w:rPr>
            </w:pPr>
            <w:r>
              <w:rPr>
                <w:rFonts w:hint="eastAsia"/>
                <w:sz w:val="18"/>
                <w:szCs w:val="21"/>
              </w:rPr>
              <w:t>适时播种</w:t>
            </w:r>
          </w:p>
        </w:tc>
        <w:tc>
          <w:tcPr>
            <w:tcW w:w="1634" w:type="dxa"/>
            <w:gridSpan w:val="2"/>
            <w:vAlign w:val="center"/>
          </w:tcPr>
          <w:p>
            <w:pPr>
              <w:jc w:val="center"/>
              <w:rPr>
                <w:sz w:val="18"/>
                <w:szCs w:val="18"/>
              </w:rPr>
            </w:pPr>
            <w:r>
              <w:rPr>
                <w:rFonts w:hint="eastAsia"/>
                <w:sz w:val="18"/>
                <w:szCs w:val="18"/>
              </w:rPr>
              <w:t>培育壮秧、短秧龄移栽</w:t>
            </w:r>
          </w:p>
        </w:tc>
        <w:tc>
          <w:tcPr>
            <w:tcW w:w="3992" w:type="dxa"/>
            <w:gridSpan w:val="5"/>
            <w:vAlign w:val="center"/>
          </w:tcPr>
          <w:p>
            <w:pPr>
              <w:jc w:val="center"/>
              <w:rPr>
                <w:sz w:val="18"/>
                <w:szCs w:val="18"/>
              </w:rPr>
            </w:pPr>
            <w:r>
              <w:rPr>
                <w:rFonts w:hint="eastAsia"/>
                <w:sz w:val="18"/>
                <w:szCs w:val="18"/>
              </w:rPr>
              <w:t>栽后抓好水浆管理</w:t>
            </w:r>
          </w:p>
        </w:tc>
        <w:tc>
          <w:tcPr>
            <w:tcW w:w="4230" w:type="dxa"/>
            <w:gridSpan w:val="8"/>
            <w:vAlign w:val="center"/>
          </w:tcPr>
          <w:p>
            <w:pPr>
              <w:jc w:val="center"/>
              <w:rPr>
                <w:sz w:val="18"/>
                <w:szCs w:val="18"/>
              </w:rPr>
            </w:pPr>
            <w:r>
              <w:rPr>
                <w:rFonts w:hint="eastAsia"/>
                <w:sz w:val="18"/>
                <w:szCs w:val="18"/>
              </w:rPr>
              <w:t>攻大穗、增粒重</w:t>
            </w:r>
          </w:p>
        </w:tc>
        <w:tc>
          <w:tcPr>
            <w:tcW w:w="5856" w:type="dxa"/>
            <w:gridSpan w:val="7"/>
            <w:vAlign w:val="center"/>
          </w:tcPr>
          <w:p>
            <w:pPr>
              <w:ind w:left="2"/>
              <w:jc w:val="center"/>
              <w:rPr>
                <w:sz w:val="18"/>
                <w:szCs w:val="21"/>
              </w:rPr>
            </w:pPr>
            <w:r>
              <w:rPr>
                <w:rFonts w:hint="eastAsia"/>
                <w:sz w:val="18"/>
                <w:szCs w:val="21"/>
              </w:rPr>
              <w:t>防早衰、防倒伏、黄熟收获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093" w:hRule="atLeast"/>
        </w:trPr>
        <w:tc>
          <w:tcPr>
            <w:tcW w:w="1188" w:type="dxa"/>
            <w:tcBorders>
              <w:right w:val="single" w:color="auto" w:sz="12" w:space="0"/>
            </w:tcBorders>
          </w:tcPr>
          <w:p>
            <w:pPr>
              <w:jc w:val="center"/>
              <w:rPr>
                <w:szCs w:val="18"/>
              </w:rPr>
            </w:pPr>
          </w:p>
          <w:p>
            <w:pPr>
              <w:jc w:val="center"/>
              <w:rPr>
                <w:szCs w:val="18"/>
              </w:rPr>
            </w:pPr>
            <w:r>
              <w:rPr>
                <w:rFonts w:hint="eastAsia"/>
                <w:szCs w:val="18"/>
              </w:rPr>
              <w:t>超</w:t>
            </w:r>
          </w:p>
          <w:p>
            <w:pPr>
              <w:jc w:val="center"/>
              <w:rPr>
                <w:szCs w:val="18"/>
              </w:rPr>
            </w:pPr>
            <w:r>
              <w:rPr>
                <w:rFonts w:hint="eastAsia"/>
                <w:szCs w:val="18"/>
              </w:rPr>
              <w:t>级</w:t>
            </w:r>
          </w:p>
          <w:p>
            <w:pPr>
              <w:jc w:val="center"/>
              <w:rPr>
                <w:szCs w:val="18"/>
              </w:rPr>
            </w:pPr>
            <w:r>
              <w:rPr>
                <w:rFonts w:hint="eastAsia"/>
                <w:szCs w:val="18"/>
              </w:rPr>
              <w:t>稻</w:t>
            </w:r>
          </w:p>
          <w:p>
            <w:pPr>
              <w:jc w:val="center"/>
              <w:rPr>
                <w:szCs w:val="18"/>
              </w:rPr>
            </w:pPr>
            <w:r>
              <w:rPr>
                <w:rFonts w:hint="eastAsia"/>
                <w:szCs w:val="18"/>
              </w:rPr>
              <w:t>单</w:t>
            </w:r>
          </w:p>
          <w:p>
            <w:pPr>
              <w:jc w:val="center"/>
              <w:rPr>
                <w:szCs w:val="18"/>
              </w:rPr>
            </w:pPr>
            <w:r>
              <w:rPr>
                <w:rFonts w:hint="eastAsia"/>
                <w:szCs w:val="18"/>
              </w:rPr>
              <w:t>季</w:t>
            </w:r>
          </w:p>
          <w:p>
            <w:pPr>
              <w:jc w:val="center"/>
              <w:rPr>
                <w:szCs w:val="18"/>
              </w:rPr>
            </w:pPr>
            <w:r>
              <w:rPr>
                <w:rFonts w:hint="eastAsia"/>
                <w:szCs w:val="18"/>
              </w:rPr>
              <w:t>机</w:t>
            </w:r>
          </w:p>
          <w:p>
            <w:pPr>
              <w:jc w:val="center"/>
              <w:rPr>
                <w:szCs w:val="18"/>
              </w:rPr>
            </w:pPr>
            <w:r>
              <w:rPr>
                <w:rFonts w:hint="eastAsia"/>
                <w:szCs w:val="18"/>
              </w:rPr>
              <w:t>插</w:t>
            </w:r>
          </w:p>
          <w:p>
            <w:pPr>
              <w:jc w:val="center"/>
              <w:rPr>
                <w:szCs w:val="18"/>
              </w:rPr>
            </w:pPr>
            <w:r>
              <w:rPr>
                <w:rFonts w:hint="eastAsia"/>
                <w:szCs w:val="18"/>
              </w:rPr>
              <w:t>栽</w:t>
            </w:r>
          </w:p>
          <w:p>
            <w:pPr>
              <w:jc w:val="center"/>
              <w:rPr>
                <w:szCs w:val="18"/>
              </w:rPr>
            </w:pPr>
            <w:r>
              <w:rPr>
                <w:rFonts w:hint="eastAsia"/>
                <w:szCs w:val="18"/>
              </w:rPr>
              <w:t>培</w:t>
            </w:r>
          </w:p>
          <w:p>
            <w:pPr>
              <w:jc w:val="center"/>
              <w:rPr>
                <w:szCs w:val="18"/>
              </w:rPr>
            </w:pPr>
            <w:r>
              <w:rPr>
                <w:rFonts w:hint="eastAsia"/>
                <w:szCs w:val="18"/>
              </w:rPr>
              <w:t>技</w:t>
            </w:r>
          </w:p>
          <w:p>
            <w:pPr>
              <w:jc w:val="center"/>
              <w:rPr>
                <w:szCs w:val="18"/>
              </w:rPr>
            </w:pPr>
            <w:r>
              <w:rPr>
                <w:rFonts w:hint="eastAsia"/>
                <w:szCs w:val="18"/>
              </w:rPr>
              <w:t>术</w:t>
            </w:r>
          </w:p>
        </w:tc>
        <w:tc>
          <w:tcPr>
            <w:tcW w:w="1437" w:type="dxa"/>
            <w:gridSpan w:val="2"/>
            <w:tcBorders>
              <w:left w:val="single" w:color="auto" w:sz="12" w:space="0"/>
            </w:tcBorders>
          </w:tcPr>
          <w:p>
            <w:pPr>
              <w:pStyle w:val="20"/>
              <w:ind w:firstLine="360"/>
              <w:rPr>
                <w:rFonts w:hAnsi="宋体"/>
                <w:sz w:val="18"/>
                <w:szCs w:val="18"/>
              </w:rPr>
            </w:pPr>
            <w:r>
              <w:rPr>
                <w:rFonts w:hint="eastAsia" w:hAnsi="宋体"/>
                <w:sz w:val="18"/>
                <w:szCs w:val="18"/>
              </w:rPr>
              <w:t>1、秧田选择：选择肥力中等、排灌方便、远离麦田的田块做秧田。</w:t>
            </w:r>
          </w:p>
          <w:p>
            <w:pPr>
              <w:pStyle w:val="20"/>
              <w:ind w:firstLine="360"/>
              <w:rPr>
                <w:rFonts w:hAnsi="宋体"/>
                <w:sz w:val="18"/>
                <w:szCs w:val="18"/>
              </w:rPr>
            </w:pPr>
            <w:r>
              <w:rPr>
                <w:rFonts w:hint="eastAsia" w:hAnsi="宋体"/>
                <w:sz w:val="18"/>
                <w:szCs w:val="18"/>
              </w:rPr>
              <w:t>2、种子准备：晒种一天，选用25%氰烯菌酯悬浮剂或25%</w:t>
            </w:r>
            <w:r>
              <w:rPr>
                <w:rFonts w:hAnsi="宋体"/>
                <w:sz w:val="18"/>
                <w:szCs w:val="18"/>
              </w:rPr>
              <w:t>咪鲜胺</w:t>
            </w:r>
            <w:r>
              <w:rPr>
                <w:rFonts w:hint="eastAsia" w:hAnsi="宋体"/>
                <w:sz w:val="18"/>
                <w:szCs w:val="18"/>
              </w:rPr>
              <w:t>乳油3000倍药液浸种12～24 h。再用10%吡虫啉2 g～3 g加15ml</w:t>
            </w:r>
            <w:r>
              <w:rPr>
                <w:rFonts w:hint="eastAsia" w:hAnsi="宋体"/>
                <w:color w:val="000000"/>
              </w:rPr>
              <w:t>～20ml</w:t>
            </w:r>
            <w:r>
              <w:rPr>
                <w:rFonts w:hint="eastAsia" w:hAnsi="宋体"/>
                <w:sz w:val="18"/>
                <w:szCs w:val="18"/>
              </w:rPr>
              <w:t>水溶解均匀拌种。</w:t>
            </w:r>
          </w:p>
          <w:p>
            <w:pPr>
              <w:pStyle w:val="20"/>
              <w:ind w:firstLine="360"/>
              <w:rPr>
                <w:rFonts w:hAnsi="宋体"/>
                <w:sz w:val="18"/>
                <w:szCs w:val="18"/>
              </w:rPr>
            </w:pPr>
            <w:r>
              <w:rPr>
                <w:rFonts w:hint="eastAsia" w:hAnsi="宋体"/>
                <w:sz w:val="18"/>
                <w:szCs w:val="18"/>
              </w:rPr>
              <w:t>3、精做秧板、备好营养土：手插秧田播前3 d～5 d做好秧板，板面宽1.3 m，沟宽0.3 m 。机插秧在空闲期间做好透气秧田，板面宽1.5 m ，沟宽0.4 m 。机插营养土选用菜园土或水稻土，拌入壮秧剂，机插秧盘每盘需要营养土4 kg、覆盖土1 kg；商品基质每盘4升。</w:t>
            </w:r>
          </w:p>
        </w:tc>
        <w:tc>
          <w:tcPr>
            <w:tcW w:w="1217" w:type="dxa"/>
            <w:gridSpan w:val="2"/>
          </w:tcPr>
          <w:p>
            <w:pPr>
              <w:pStyle w:val="20"/>
              <w:ind w:firstLine="360"/>
              <w:rPr>
                <w:sz w:val="18"/>
                <w:szCs w:val="18"/>
              </w:rPr>
            </w:pPr>
            <w:r>
              <w:rPr>
                <w:rFonts w:hint="eastAsia"/>
                <w:sz w:val="18"/>
                <w:szCs w:val="18"/>
              </w:rPr>
              <w:t>1、播种期：5月中旬抢晴播种。</w:t>
            </w:r>
          </w:p>
          <w:p>
            <w:pPr>
              <w:pStyle w:val="20"/>
              <w:ind w:firstLine="360"/>
              <w:rPr>
                <w:sz w:val="18"/>
                <w:szCs w:val="18"/>
              </w:rPr>
            </w:pPr>
            <w:r>
              <w:rPr>
                <w:rFonts w:hint="eastAsia"/>
                <w:sz w:val="18"/>
                <w:szCs w:val="18"/>
              </w:rPr>
              <w:t>2、播种：35℃～38℃催芽，机插种子露白即播，手插芽长半粒谷时播种。</w:t>
            </w:r>
          </w:p>
          <w:p>
            <w:pPr>
              <w:pStyle w:val="20"/>
              <w:ind w:firstLine="360"/>
              <w:rPr>
                <w:sz w:val="18"/>
                <w:szCs w:val="18"/>
              </w:rPr>
            </w:pPr>
            <w:r>
              <w:rPr>
                <w:rFonts w:hint="eastAsia"/>
                <w:sz w:val="18"/>
                <w:szCs w:val="18"/>
              </w:rPr>
              <w:t>3、播种量： 机插每亩用种1 kg左右 ,每盘折干谷55g～65 g；手插每亩用种0.4 kg～0.5 kg ，播10 kg 。</w:t>
            </w:r>
          </w:p>
          <w:p>
            <w:pPr>
              <w:pStyle w:val="20"/>
              <w:ind w:firstLine="360"/>
              <w:rPr>
                <w:sz w:val="18"/>
                <w:szCs w:val="18"/>
              </w:rPr>
            </w:pPr>
            <w:r>
              <w:rPr>
                <w:rFonts w:hint="eastAsia"/>
                <w:sz w:val="18"/>
                <w:szCs w:val="18"/>
              </w:rPr>
              <w:t>4、机插育秧水浆管理要求以沟灌湿润为主，土壤干时灌“跑马水”；手插秧田播种后晴天满沟水，阴天半沟水，二叶一心后灌水上板。</w:t>
            </w:r>
          </w:p>
        </w:tc>
        <w:tc>
          <w:tcPr>
            <w:tcW w:w="1634" w:type="dxa"/>
            <w:gridSpan w:val="2"/>
          </w:tcPr>
          <w:p>
            <w:pPr>
              <w:pStyle w:val="20"/>
              <w:ind w:firstLine="360"/>
              <w:rPr>
                <w:sz w:val="18"/>
                <w:szCs w:val="18"/>
              </w:rPr>
            </w:pPr>
            <w:r>
              <w:rPr>
                <w:rFonts w:hint="eastAsia"/>
                <w:sz w:val="18"/>
                <w:szCs w:val="18"/>
              </w:rPr>
              <w:t>1、秧田除草：铺盘后，每 667 m</w:t>
            </w:r>
            <w:r>
              <w:rPr>
                <w:rFonts w:hint="eastAsia"/>
                <w:sz w:val="18"/>
                <w:szCs w:val="18"/>
                <w:vertAlign w:val="superscript"/>
              </w:rPr>
              <w:t>2</w:t>
            </w:r>
            <w:r>
              <w:rPr>
                <w:rFonts w:hint="eastAsia"/>
                <w:sz w:val="18"/>
                <w:szCs w:val="18"/>
              </w:rPr>
              <w:t>秧田用17.2%哌丹•苄可湿性粉剂200 g～250 g兑水40 kg均匀喷施于板面。</w:t>
            </w:r>
          </w:p>
          <w:p>
            <w:pPr>
              <w:pStyle w:val="20"/>
              <w:ind w:firstLine="360"/>
              <w:rPr>
                <w:sz w:val="18"/>
                <w:szCs w:val="18"/>
              </w:rPr>
            </w:pPr>
            <w:r>
              <w:rPr>
                <w:rFonts w:hint="eastAsia"/>
                <w:sz w:val="18"/>
                <w:szCs w:val="18"/>
              </w:rPr>
              <w:t>2、秧田管理：</w:t>
            </w:r>
          </w:p>
          <w:p>
            <w:pPr>
              <w:pStyle w:val="20"/>
              <w:ind w:firstLine="360"/>
              <w:rPr>
                <w:sz w:val="18"/>
                <w:szCs w:val="18"/>
              </w:rPr>
            </w:pPr>
            <w:r>
              <w:rPr>
                <w:rFonts w:hint="eastAsia"/>
                <w:sz w:val="18"/>
                <w:szCs w:val="18"/>
              </w:rPr>
              <w:t>⑴秧田播种除草后搭架覆盖遮阳网，在秧苗一叶一心时揭去。</w:t>
            </w:r>
          </w:p>
          <w:p>
            <w:pPr>
              <w:pStyle w:val="20"/>
              <w:ind w:firstLine="360"/>
              <w:rPr>
                <w:sz w:val="18"/>
                <w:szCs w:val="18"/>
              </w:rPr>
            </w:pPr>
            <w:r>
              <w:rPr>
                <w:rFonts w:hint="eastAsia"/>
                <w:sz w:val="18"/>
                <w:szCs w:val="18"/>
              </w:rPr>
              <w:t>（2）手插秧苗二叶一心期亩施尿素3 kg～5 kg 作断奶肥；移栽前3 d～5 d施起身肥：手插秧田亩施尿素7 kg～10 kg ，机插秧田亩施4 kg～5 kg 。</w:t>
            </w:r>
          </w:p>
          <w:p>
            <w:pPr>
              <w:pStyle w:val="20"/>
              <w:ind w:firstLine="360"/>
              <w:rPr>
                <w:sz w:val="18"/>
                <w:szCs w:val="18"/>
              </w:rPr>
            </w:pPr>
            <w:r>
              <w:rPr>
                <w:rFonts w:hint="eastAsia"/>
                <w:sz w:val="18"/>
                <w:szCs w:val="18"/>
              </w:rPr>
              <w:t>（3）秧苗一叶一心期每亩喷施多效唑溶液40 kg 作化学调控。</w:t>
            </w:r>
          </w:p>
          <w:p>
            <w:pPr>
              <w:pStyle w:val="20"/>
              <w:ind w:firstLine="360"/>
              <w:rPr>
                <w:sz w:val="18"/>
                <w:szCs w:val="18"/>
              </w:rPr>
            </w:pPr>
            <w:r>
              <w:rPr>
                <w:rFonts w:hint="eastAsia"/>
                <w:sz w:val="18"/>
                <w:szCs w:val="18"/>
              </w:rPr>
              <w:t>3、短秧龄移栽：机插控制在15 d～20 d；手插控制在20 d～25 d。</w:t>
            </w:r>
          </w:p>
          <w:p>
            <w:pPr>
              <w:pStyle w:val="20"/>
              <w:ind w:firstLine="360"/>
              <w:rPr>
                <w:sz w:val="18"/>
                <w:szCs w:val="18"/>
              </w:rPr>
            </w:pPr>
            <w:r>
              <w:rPr>
                <w:rFonts w:hint="eastAsia"/>
                <w:sz w:val="18"/>
                <w:szCs w:val="18"/>
              </w:rPr>
              <w:t>4、秧田期主要防治稻蓟马、灰飞虱等，做到带药下田。</w:t>
            </w:r>
          </w:p>
        </w:tc>
        <w:tc>
          <w:tcPr>
            <w:tcW w:w="3992" w:type="dxa"/>
            <w:gridSpan w:val="5"/>
          </w:tcPr>
          <w:p>
            <w:pPr>
              <w:pStyle w:val="20"/>
              <w:ind w:firstLine="360"/>
              <w:rPr>
                <w:rFonts w:hAnsi="宋体"/>
                <w:sz w:val="18"/>
                <w:szCs w:val="18"/>
              </w:rPr>
            </w:pPr>
            <w:r>
              <w:rPr>
                <w:rFonts w:hint="eastAsia" w:hAnsi="宋体"/>
                <w:sz w:val="18"/>
                <w:szCs w:val="18"/>
              </w:rPr>
              <w:t>1、大田准备：在插种前三天平整好田块，耕耙后沙质土沉实1 d，壤土沉实1 d</w:t>
            </w:r>
            <w:r>
              <w:rPr>
                <w:rFonts w:hint="eastAsia"/>
                <w:sz w:val="18"/>
                <w:szCs w:val="18"/>
              </w:rPr>
              <w:t>～2 d，粘土沉实3 d～4 d。机械插秧作业时不陷机不雍泥。</w:t>
            </w:r>
          </w:p>
          <w:p>
            <w:pPr>
              <w:pStyle w:val="20"/>
              <w:ind w:firstLine="360"/>
              <w:rPr>
                <w:rFonts w:hAnsi="宋体"/>
                <w:sz w:val="18"/>
                <w:szCs w:val="18"/>
              </w:rPr>
            </w:pPr>
            <w:r>
              <w:rPr>
                <w:rFonts w:hint="eastAsia" w:hAnsi="宋体"/>
                <w:sz w:val="18"/>
                <w:szCs w:val="18"/>
              </w:rPr>
              <w:t>2</w:t>
            </w:r>
            <w:r>
              <w:rPr>
                <w:rFonts w:hint="eastAsia"/>
                <w:sz w:val="18"/>
                <w:szCs w:val="18"/>
              </w:rPr>
              <w:t>、基肥：结合耕耙施好基肥，亩施配方肥（23-12-5）25 kg 。</w:t>
            </w:r>
          </w:p>
          <w:p>
            <w:pPr>
              <w:pStyle w:val="20"/>
              <w:ind w:firstLine="360"/>
              <w:rPr>
                <w:rFonts w:hAnsi="宋体"/>
                <w:sz w:val="18"/>
                <w:szCs w:val="18"/>
              </w:rPr>
            </w:pPr>
            <w:r>
              <w:rPr>
                <w:rFonts w:hAnsi="宋体"/>
                <w:sz w:val="18"/>
                <w:szCs w:val="18"/>
              </w:rPr>
              <w:t>2</w:t>
            </w:r>
            <w:r>
              <w:rPr>
                <w:rFonts w:hint="eastAsia"/>
                <w:sz w:val="18"/>
                <w:szCs w:val="18"/>
              </w:rPr>
              <w:t>、基本苗：机插深度宜浅，控制在1.5 cm～2.5 cm，每亩1万丛，每丛1本～3本；手插密植规格30 cm</w:t>
            </w:r>
            <w:r>
              <w:rPr>
                <w:rFonts w:hint="eastAsia" w:hAnsi="宋体"/>
                <w:sz w:val="18"/>
                <w:szCs w:val="18"/>
              </w:rPr>
              <w:t>×</w:t>
            </w:r>
            <w:r>
              <w:rPr>
                <w:rFonts w:hint="eastAsia"/>
                <w:sz w:val="18"/>
                <w:szCs w:val="18"/>
              </w:rPr>
              <w:t>25 cm～30 cm，每丛1本。</w:t>
            </w:r>
          </w:p>
          <w:p>
            <w:pPr>
              <w:pStyle w:val="20"/>
              <w:ind w:firstLine="360"/>
              <w:rPr>
                <w:sz w:val="18"/>
                <w:szCs w:val="18"/>
              </w:rPr>
            </w:pPr>
            <w:r>
              <w:rPr>
                <w:rFonts w:hAnsi="宋体"/>
                <w:sz w:val="18"/>
                <w:szCs w:val="18"/>
              </w:rPr>
              <w:t>3</w:t>
            </w:r>
            <w:r>
              <w:rPr>
                <w:rFonts w:hint="eastAsia"/>
                <w:sz w:val="18"/>
                <w:szCs w:val="18"/>
              </w:rPr>
              <w:t>、田间管理：</w:t>
            </w:r>
          </w:p>
          <w:p>
            <w:pPr>
              <w:pStyle w:val="20"/>
              <w:ind w:firstLine="360"/>
              <w:rPr>
                <w:sz w:val="18"/>
                <w:szCs w:val="18"/>
              </w:rPr>
            </w:pPr>
            <w:r>
              <w:rPr>
                <w:rFonts w:hint="eastAsia"/>
                <w:sz w:val="18"/>
                <w:szCs w:val="18"/>
              </w:rPr>
              <w:t>⑴苗肥：手插栽后3 d～5 d，机插栽后</w:t>
            </w:r>
            <w:r>
              <w:rPr>
                <w:rFonts w:hAnsi="宋体"/>
                <w:sz w:val="18"/>
                <w:szCs w:val="18"/>
              </w:rPr>
              <w:t>5</w:t>
            </w:r>
            <w:r>
              <w:rPr>
                <w:rFonts w:hint="eastAsia" w:hAnsi="宋体"/>
                <w:sz w:val="18"/>
                <w:szCs w:val="18"/>
              </w:rPr>
              <w:t xml:space="preserve"> d</w:t>
            </w:r>
            <w:r>
              <w:rPr>
                <w:rFonts w:hint="eastAsia"/>
                <w:sz w:val="18"/>
                <w:szCs w:val="18"/>
              </w:rPr>
              <w:t>～</w:t>
            </w:r>
            <w:r>
              <w:rPr>
                <w:rFonts w:hAnsi="宋体"/>
                <w:sz w:val="18"/>
                <w:szCs w:val="18"/>
              </w:rPr>
              <w:t>7</w:t>
            </w:r>
            <w:r>
              <w:rPr>
                <w:rFonts w:hint="eastAsia" w:hAnsi="宋体"/>
                <w:sz w:val="18"/>
                <w:szCs w:val="18"/>
              </w:rPr>
              <w:t xml:space="preserve"> </w:t>
            </w:r>
            <w:r>
              <w:rPr>
                <w:rFonts w:hint="eastAsia"/>
                <w:sz w:val="18"/>
                <w:szCs w:val="18"/>
              </w:rPr>
              <w:t>d亩施尿素</w:t>
            </w:r>
            <w:r>
              <w:rPr>
                <w:rFonts w:hint="eastAsia" w:hAnsi="宋体"/>
                <w:sz w:val="18"/>
                <w:szCs w:val="18"/>
              </w:rPr>
              <w:t>5</w:t>
            </w:r>
            <w:r>
              <w:rPr>
                <w:sz w:val="18"/>
                <w:szCs w:val="18"/>
              </w:rPr>
              <w:t xml:space="preserve"> kg</w:t>
            </w:r>
            <w:r>
              <w:rPr>
                <w:rFonts w:hint="eastAsia"/>
                <w:sz w:val="18"/>
                <w:szCs w:val="18"/>
              </w:rPr>
              <w:t>。间隔5 d～7 d每亩施配方肥（20-0-22）10 kg～15 kg。</w:t>
            </w:r>
          </w:p>
          <w:p>
            <w:pPr>
              <w:pStyle w:val="20"/>
              <w:ind w:firstLine="360"/>
              <w:rPr>
                <w:sz w:val="18"/>
                <w:szCs w:val="18"/>
              </w:rPr>
            </w:pPr>
            <w:r>
              <w:rPr>
                <w:rFonts w:hint="eastAsia"/>
                <w:sz w:val="18"/>
                <w:szCs w:val="18"/>
              </w:rPr>
              <w:t>（2）水浆管理：返青期栽后浅水护苗，第一新叶抽出后适当露田；分蘖期浅水促蘖，并做到经常露田。</w:t>
            </w:r>
          </w:p>
          <w:p>
            <w:pPr>
              <w:pStyle w:val="20"/>
              <w:ind w:firstLine="360"/>
              <w:rPr>
                <w:rFonts w:hAnsi="宋体"/>
                <w:sz w:val="18"/>
                <w:szCs w:val="18"/>
              </w:rPr>
            </w:pPr>
            <w:r>
              <w:rPr>
                <w:rFonts w:hint="eastAsia" w:hAnsi="宋体"/>
                <w:sz w:val="18"/>
                <w:szCs w:val="18"/>
              </w:rPr>
              <w:t>⑶搁田：达到目标穗数80%及时搁田，</w:t>
            </w:r>
            <w:r>
              <w:rPr>
                <w:rFonts w:hint="eastAsia"/>
                <w:sz w:val="18"/>
                <w:szCs w:val="18"/>
              </w:rPr>
              <w:t>搁田要分次进行，由轻到重，并结合搁田分次挖深丰产沟</w:t>
            </w:r>
            <w:r>
              <w:rPr>
                <w:rFonts w:hint="eastAsia" w:hAnsi="宋体"/>
                <w:sz w:val="18"/>
                <w:szCs w:val="18"/>
              </w:rPr>
              <w:t>。</w:t>
            </w:r>
          </w:p>
          <w:p>
            <w:pPr>
              <w:pStyle w:val="20"/>
              <w:ind w:firstLine="360"/>
              <w:rPr>
                <w:sz w:val="18"/>
                <w:szCs w:val="18"/>
              </w:rPr>
            </w:pPr>
            <w:r>
              <w:rPr>
                <w:rFonts w:hint="eastAsia"/>
                <w:sz w:val="18"/>
                <w:szCs w:val="18"/>
              </w:rPr>
              <w:t>⑷进入</w:t>
            </w:r>
            <w:r>
              <w:rPr>
                <w:rFonts w:hAnsi="宋体"/>
                <w:sz w:val="18"/>
                <w:szCs w:val="18"/>
              </w:rPr>
              <w:t>7</w:t>
            </w:r>
            <w:r>
              <w:rPr>
                <w:rFonts w:hint="eastAsia"/>
                <w:sz w:val="18"/>
                <w:szCs w:val="18"/>
              </w:rPr>
              <w:t>月份后，二化螟、稻纵卷叶螟褐飞虱等虫害发生逐渐严重，此时应对口药剂进行防治，农药使用应符合</w:t>
            </w:r>
            <w:r>
              <w:fldChar w:fldCharType="begin"/>
            </w:r>
            <w:r>
              <w:instrText xml:space="preserve"> HYPERLINK "http://www.jxisi.com.cn/Standard/Search/StdInfo.aspx?ca=PfiQNa4u/cM=" \t "_blank" </w:instrText>
            </w:r>
            <w:r>
              <w:fldChar w:fldCharType="separate"/>
            </w:r>
            <w:r>
              <w:rPr>
                <w:sz w:val="18"/>
                <w:szCs w:val="18"/>
              </w:rPr>
              <w:t>NY/T 1276-2007</w:t>
            </w:r>
            <w:r>
              <w:rPr>
                <w:sz w:val="18"/>
                <w:szCs w:val="18"/>
              </w:rPr>
              <w:fldChar w:fldCharType="end"/>
            </w:r>
            <w:r>
              <w:rPr>
                <w:rFonts w:hint="eastAsia"/>
                <w:sz w:val="18"/>
                <w:szCs w:val="18"/>
              </w:rPr>
              <w:t>和</w:t>
            </w:r>
            <w:r>
              <w:rPr>
                <w:sz w:val="18"/>
                <w:szCs w:val="18"/>
              </w:rPr>
              <w:t>GB/T 8321</w:t>
            </w:r>
            <w:r>
              <w:rPr>
                <w:rFonts w:hint="eastAsia"/>
                <w:sz w:val="18"/>
                <w:szCs w:val="18"/>
              </w:rPr>
              <w:t>的规定。</w:t>
            </w:r>
          </w:p>
          <w:p>
            <w:pPr>
              <w:pStyle w:val="20"/>
              <w:ind w:firstLine="360"/>
              <w:rPr>
                <w:rFonts w:hAnsi="宋体"/>
                <w:sz w:val="18"/>
                <w:szCs w:val="18"/>
              </w:rPr>
            </w:pPr>
            <w:r>
              <w:rPr>
                <w:rFonts w:hint="eastAsia"/>
                <w:sz w:val="18"/>
                <w:szCs w:val="18"/>
              </w:rPr>
              <w:t>（5）整田后，用丁草胺进行土表封闭杂草处理；插种后结合第一次施肥，选用苯噻酰•苄、丁•苄或吡嘧磺隆等除草剂拌尿素撤施。防除稗草可用二氯喹啉酸、防除千金子可用氰氟草酯。</w:t>
            </w:r>
          </w:p>
        </w:tc>
        <w:tc>
          <w:tcPr>
            <w:tcW w:w="4230" w:type="dxa"/>
            <w:gridSpan w:val="8"/>
          </w:tcPr>
          <w:p>
            <w:pPr>
              <w:widowControl/>
              <w:ind w:firstLine="360" w:firstLineChars="200"/>
              <w:jc w:val="left"/>
              <w:rPr>
                <w:rFonts w:cs="宋体"/>
                <w:kern w:val="0"/>
                <w:sz w:val="18"/>
                <w:szCs w:val="18"/>
              </w:rPr>
            </w:pPr>
            <w:r>
              <w:rPr>
                <w:rFonts w:ascii="宋体" w:hAnsi="宋体" w:cs="宋体"/>
                <w:kern w:val="0"/>
                <w:sz w:val="18"/>
                <w:szCs w:val="18"/>
              </w:rPr>
              <w:t>1</w:t>
            </w:r>
            <w:r>
              <w:rPr>
                <w:rFonts w:hint="eastAsia" w:cs="宋体"/>
                <w:kern w:val="0"/>
                <w:sz w:val="18"/>
                <w:szCs w:val="18"/>
              </w:rPr>
              <w:t>、肥水管理：</w:t>
            </w:r>
          </w:p>
          <w:p>
            <w:pPr>
              <w:widowControl/>
              <w:ind w:firstLine="360" w:firstLineChars="200"/>
              <w:jc w:val="left"/>
              <w:rPr>
                <w:rFonts w:ascii="宋体" w:hAnsi="宋体" w:cs="宋体"/>
                <w:kern w:val="0"/>
                <w:sz w:val="18"/>
                <w:szCs w:val="18"/>
              </w:rPr>
            </w:pPr>
            <w:r>
              <w:rPr>
                <w:rFonts w:hint="eastAsia" w:ascii="宋体" w:hAnsi="宋体" w:cs="宋体"/>
                <w:kern w:val="0"/>
                <w:sz w:val="18"/>
                <w:szCs w:val="18"/>
              </w:rPr>
              <w:t>⑴</w:t>
            </w:r>
            <w:r>
              <w:rPr>
                <w:rFonts w:hint="eastAsia" w:ascii="宋体" w:hAnsi="宋体"/>
                <w:sz w:val="18"/>
                <w:szCs w:val="18"/>
              </w:rPr>
              <w:t>倒4叶露尖时，亩施配方肥（20-0-20）</w:t>
            </w:r>
            <w:r>
              <w:rPr>
                <w:rFonts w:hint="eastAsia"/>
                <w:sz w:val="18"/>
                <w:szCs w:val="18"/>
              </w:rPr>
              <w:t>10 kg～15 kg</w:t>
            </w:r>
            <w:r>
              <w:rPr>
                <w:rFonts w:hint="eastAsia" w:ascii="宋体" w:hAnsi="宋体"/>
                <w:sz w:val="18"/>
                <w:szCs w:val="18"/>
              </w:rPr>
              <w:t xml:space="preserve"> ；</w:t>
            </w:r>
            <w:r>
              <w:rPr>
                <w:rFonts w:hint="eastAsia" w:ascii="宋体" w:hAnsi="宋体" w:cs="宋体"/>
                <w:kern w:val="0"/>
                <w:sz w:val="18"/>
                <w:szCs w:val="18"/>
              </w:rPr>
              <w:t>倒2叶露尖时，亩施</w:t>
            </w:r>
            <w:r>
              <w:rPr>
                <w:rFonts w:hint="eastAsia" w:ascii="宋体" w:hAnsi="宋体"/>
                <w:sz w:val="18"/>
                <w:szCs w:val="18"/>
              </w:rPr>
              <w:t>配方肥（20-0-20）</w:t>
            </w:r>
            <w:r>
              <w:rPr>
                <w:rFonts w:hint="eastAsia"/>
                <w:sz w:val="18"/>
                <w:szCs w:val="18"/>
              </w:rPr>
              <w:t>10 kg～15 kg</w:t>
            </w:r>
            <w:r>
              <w:rPr>
                <w:rFonts w:hint="eastAsia" w:ascii="宋体" w:hAnsi="宋体" w:cs="宋体"/>
                <w:kern w:val="0"/>
                <w:sz w:val="18"/>
                <w:szCs w:val="18"/>
              </w:rPr>
              <w:t xml:space="preserve"> 。</w:t>
            </w:r>
          </w:p>
          <w:p>
            <w:pPr>
              <w:widowControl/>
              <w:ind w:firstLine="360" w:firstLineChars="200"/>
              <w:jc w:val="left"/>
              <w:rPr>
                <w:rFonts w:ascii="宋体" w:hAnsi="宋体" w:cs="宋体"/>
                <w:kern w:val="0"/>
                <w:sz w:val="18"/>
                <w:szCs w:val="18"/>
              </w:rPr>
            </w:pPr>
            <w:r>
              <w:rPr>
                <w:rFonts w:hint="eastAsia" w:ascii="宋体" w:hAnsi="宋体" w:cs="宋体"/>
                <w:kern w:val="0"/>
                <w:sz w:val="18"/>
                <w:szCs w:val="18"/>
              </w:rPr>
              <w:t>⑵齐穗后有落黄趋势地块可亩用</w:t>
            </w:r>
            <w:r>
              <w:rPr>
                <w:rFonts w:ascii="宋体" w:hAnsi="宋体" w:cs="宋体"/>
                <w:kern w:val="0"/>
                <w:sz w:val="18"/>
                <w:szCs w:val="18"/>
              </w:rPr>
              <w:t>0.</w:t>
            </w:r>
            <w:r>
              <w:rPr>
                <w:rFonts w:hint="eastAsia" w:ascii="宋体" w:hAnsi="宋体" w:cs="宋体"/>
                <w:kern w:val="0"/>
                <w:sz w:val="18"/>
                <w:szCs w:val="18"/>
              </w:rPr>
              <w:t>3</w:t>
            </w:r>
            <w:r>
              <w:rPr>
                <w:rFonts w:ascii="宋体" w:hAnsi="宋体" w:cs="宋体"/>
                <w:kern w:val="0"/>
                <w:sz w:val="18"/>
                <w:szCs w:val="18"/>
              </w:rPr>
              <w:t>%</w:t>
            </w:r>
            <w:r>
              <w:rPr>
                <w:rFonts w:hint="eastAsia" w:ascii="宋体" w:hAnsi="宋体" w:cs="宋体"/>
                <w:kern w:val="0"/>
                <w:sz w:val="18"/>
                <w:szCs w:val="18"/>
              </w:rPr>
              <w:t>磷酸二氢钾液或</w:t>
            </w:r>
            <w:r>
              <w:rPr>
                <w:rFonts w:ascii="宋体" w:hAnsi="宋体" w:cs="宋体"/>
                <w:kern w:val="0"/>
                <w:sz w:val="18"/>
                <w:szCs w:val="18"/>
              </w:rPr>
              <w:t>0.</w:t>
            </w:r>
            <w:r>
              <w:rPr>
                <w:rFonts w:hint="eastAsia" w:ascii="宋体" w:hAnsi="宋体" w:cs="宋体"/>
                <w:kern w:val="0"/>
                <w:sz w:val="18"/>
                <w:szCs w:val="18"/>
              </w:rPr>
              <w:t>5</w:t>
            </w:r>
            <w:r>
              <w:rPr>
                <w:rFonts w:ascii="宋体" w:hAnsi="宋体" w:cs="宋体"/>
                <w:kern w:val="0"/>
                <w:sz w:val="18"/>
                <w:szCs w:val="18"/>
              </w:rPr>
              <w:t>%</w:t>
            </w:r>
            <w:r>
              <w:rPr>
                <w:rFonts w:hint="eastAsia" w:ascii="宋体" w:hAnsi="宋体" w:cs="宋体"/>
                <w:kern w:val="0"/>
                <w:sz w:val="18"/>
                <w:szCs w:val="18"/>
              </w:rPr>
              <w:t>～1</w:t>
            </w:r>
            <w:r>
              <w:rPr>
                <w:rFonts w:ascii="宋体" w:hAnsi="宋体" w:cs="宋体"/>
                <w:kern w:val="0"/>
                <w:sz w:val="18"/>
                <w:szCs w:val="18"/>
              </w:rPr>
              <w:t>%</w:t>
            </w:r>
            <w:r>
              <w:rPr>
                <w:rFonts w:hint="eastAsia" w:ascii="宋体" w:hAnsi="宋体" w:cs="宋体"/>
                <w:kern w:val="0"/>
                <w:sz w:val="18"/>
                <w:szCs w:val="18"/>
              </w:rPr>
              <w:t>尿素液进行根外追肥，防早衰、防青枯。</w:t>
            </w:r>
          </w:p>
          <w:p>
            <w:pPr>
              <w:widowControl/>
              <w:ind w:firstLine="360" w:firstLineChars="200"/>
              <w:jc w:val="left"/>
              <w:rPr>
                <w:rFonts w:ascii="宋体" w:hAnsi="宋体" w:cs="宋体"/>
                <w:kern w:val="0"/>
                <w:sz w:val="18"/>
                <w:szCs w:val="18"/>
              </w:rPr>
            </w:pPr>
            <w:r>
              <w:rPr>
                <w:rFonts w:hint="eastAsia" w:ascii="宋体" w:hAnsi="宋体" w:cs="宋体"/>
                <w:kern w:val="0"/>
                <w:sz w:val="18"/>
                <w:szCs w:val="18"/>
              </w:rPr>
              <w:t>（3）幼穗分化期和抽穗扬花期均采用灌一次浅水，自然落干后立即复水，重复交替的策略。</w:t>
            </w:r>
          </w:p>
          <w:p>
            <w:pPr>
              <w:widowControl/>
              <w:ind w:firstLine="360" w:firstLineChars="200"/>
              <w:jc w:val="left"/>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、病虫防治：</w:t>
            </w:r>
          </w:p>
          <w:p>
            <w:pPr>
              <w:widowControl/>
              <w:ind w:firstLine="360" w:firstLineChars="200"/>
              <w:jc w:val="left"/>
              <w:rPr>
                <w:rFonts w:ascii="宋体" w:hAnsi="宋体"/>
                <w:vanish/>
                <w:color w:val="000000"/>
                <w:sz w:val="18"/>
                <w:szCs w:val="18"/>
              </w:rPr>
            </w:pPr>
            <w:r>
              <w:rPr>
                <w:rFonts w:hint="eastAsia" w:ascii="宋体" w:hAnsi="宋体" w:cs="宋体"/>
                <w:kern w:val="0"/>
                <w:sz w:val="18"/>
                <w:szCs w:val="18"/>
              </w:rPr>
              <w:t>⑴重点做好稻曲病预防。</w:t>
            </w:r>
            <w:r>
              <w:rPr>
                <w:rFonts w:hint="eastAsia" w:ascii="宋体" w:hAnsi="宋体"/>
                <w:sz w:val="18"/>
                <w:szCs w:val="18"/>
              </w:rPr>
              <w:t>防治时间：水稻破口前5 d～7 d开始，选用30%的苯甲·丙环唑等适宜药剂，每亩15 ml～20 ml加水40</w:t>
            </w:r>
            <w:r>
              <w:rPr>
                <w:rFonts w:ascii="宋体" w:hAnsi="宋体"/>
                <w:sz w:val="18"/>
                <w:szCs w:val="18"/>
              </w:rPr>
              <w:t xml:space="preserve"> kg</w:t>
            </w:r>
            <w:r>
              <w:rPr>
                <w:rFonts w:hint="eastAsia" w:ascii="宋体" w:hAnsi="宋体"/>
                <w:sz w:val="18"/>
                <w:szCs w:val="18"/>
              </w:rPr>
              <w:t xml:space="preserve"> 喷雾。防治次数：间隔</w:t>
            </w:r>
            <w:r>
              <w:rPr>
                <w:rFonts w:ascii="宋体" w:hAnsi="宋体" w:cs="Tahoma"/>
                <w:sz w:val="18"/>
                <w:szCs w:val="18"/>
              </w:rPr>
              <w:t>5</w:t>
            </w:r>
            <w:r>
              <w:rPr>
                <w:rFonts w:hint="eastAsia" w:ascii="宋体" w:hAnsi="宋体"/>
                <w:sz w:val="18"/>
                <w:szCs w:val="18"/>
              </w:rPr>
              <w:t xml:space="preserve"> d左右，连续</w:t>
            </w:r>
            <w:r>
              <w:rPr>
                <w:rFonts w:hint="eastAsia" w:ascii="宋体" w:hAnsi="宋体" w:cs="Tahoma"/>
                <w:sz w:val="18"/>
                <w:szCs w:val="18"/>
              </w:rPr>
              <w:t>2</w:t>
            </w:r>
            <w:r>
              <w:rPr>
                <w:rFonts w:hint="eastAsia" w:ascii="宋体" w:hAnsi="宋体"/>
                <w:sz w:val="18"/>
                <w:szCs w:val="18"/>
              </w:rPr>
              <w:t>次以上。</w:t>
            </w:r>
          </w:p>
          <w:p>
            <w:pPr>
              <w:widowControl/>
              <w:ind w:firstLine="360" w:firstLineChars="200"/>
              <w:jc w:val="left"/>
              <w:rPr>
                <w:rFonts w:ascii="宋体" w:hAnsi="宋体" w:cs="宋体"/>
                <w:kern w:val="0"/>
                <w:sz w:val="18"/>
                <w:szCs w:val="18"/>
              </w:rPr>
            </w:pPr>
            <w:r>
              <w:rPr>
                <w:rFonts w:hint="eastAsia" w:ascii="宋体" w:hAnsi="宋体" w:cs="宋体"/>
                <w:kern w:val="0"/>
                <w:sz w:val="18"/>
                <w:szCs w:val="18"/>
              </w:rPr>
              <w:t>⑵注意纹枯病、螟虫、稻飞虱、蚜虫的防治。</w:t>
            </w:r>
          </w:p>
          <w:p>
            <w:pPr>
              <w:widowControl/>
              <w:ind w:firstLine="360" w:firstLineChars="200"/>
              <w:jc w:val="left"/>
              <w:rPr>
                <w:rFonts w:ascii="宋体" w:hAnsi="宋体" w:cs="宋体"/>
                <w:kern w:val="0"/>
                <w:sz w:val="18"/>
                <w:szCs w:val="18"/>
              </w:rPr>
            </w:pPr>
          </w:p>
        </w:tc>
        <w:tc>
          <w:tcPr>
            <w:tcW w:w="5856" w:type="dxa"/>
            <w:gridSpan w:val="7"/>
          </w:tcPr>
          <w:p>
            <w:pPr>
              <w:pStyle w:val="20"/>
              <w:ind w:firstLine="360"/>
              <w:rPr>
                <w:sz w:val="18"/>
                <w:szCs w:val="18"/>
              </w:rPr>
            </w:pPr>
            <w:r>
              <w:rPr>
                <w:rFonts w:hint="eastAsia"/>
                <w:sz w:val="18"/>
                <w:szCs w:val="18"/>
              </w:rPr>
              <w:t>1、水浆管理：灌浆结实期干干湿湿，间歇灌溉，做到干湿交替，以田面湿润为主；蜡熟期以后采用灌“跑马水”的方法，断水时间以不影响机械收割为度。</w:t>
            </w:r>
          </w:p>
          <w:p>
            <w:pPr>
              <w:widowControl/>
              <w:ind w:firstLine="360" w:firstLineChars="200"/>
              <w:jc w:val="left"/>
              <w:rPr>
                <w:rFonts w:ascii="宋体" w:hAnsi="宋体" w:cs="宋体"/>
                <w:kern w:val="0"/>
                <w:sz w:val="18"/>
                <w:szCs w:val="18"/>
              </w:rPr>
            </w:pPr>
            <w:r>
              <w:rPr>
                <w:rFonts w:hint="eastAsia" w:ascii="宋体" w:hAnsi="宋体"/>
                <w:sz w:val="18"/>
                <w:szCs w:val="18"/>
              </w:rPr>
              <w:t>2、收获：当全田90%的谷粒黄熟时，应及时收割。</w:t>
            </w:r>
          </w:p>
        </w:tc>
      </w:tr>
    </w:tbl>
    <w:p>
      <w:pPr>
        <w:pStyle w:val="94"/>
      </w:pPr>
      <w:r>
        <w:br w:type="textWrapping"/>
      </w:r>
      <w:r>
        <w:rPr>
          <w:rFonts w:hint="eastAsia"/>
        </w:rPr>
        <w:t>（资料性附录）</w:t>
      </w:r>
      <w:r>
        <w:br w:type="textWrapping"/>
      </w:r>
      <w:r>
        <w:rPr>
          <w:rFonts w:hint="eastAsia"/>
        </w:rPr>
        <w:t>超级稻甬优12栽培模式图</w:t>
      </w:r>
    </w:p>
    <w:p>
      <w:pPr>
        <w:pStyle w:val="44"/>
        <w:framePr w:hAnchor="page" w:x="10593" w:y="14300"/>
      </w:pPr>
      <w:r>
        <w:t>_________________________________</w:t>
      </w:r>
    </w:p>
    <w:p>
      <w:pPr>
        <w:pStyle w:val="20"/>
      </w:pPr>
    </w:p>
    <w:p>
      <w:pPr>
        <w:pStyle w:val="44"/>
        <w:framePr w:hSpace="0" w:vSpace="0" w:wrap="auto" w:vAnchor="margin" w:hAnchor="text" w:xAlign="left" w:yAlign="inline"/>
        <w:ind w:right="968" w:rightChars="461"/>
      </w:pPr>
    </w:p>
    <w:sectPr>
      <w:pgSz w:w="22680" w:h="19845" w:orient="landscape"/>
      <w:pgMar w:top="720" w:right="1701" w:bottom="720" w:left="720"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_x000B__x000C_">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r>
      <w:t>DBXX/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7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89"/>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6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12"/>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76"/>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58"/>
      <w:suff w:val="nothing"/>
      <w:lvlText w:val="%1　"/>
      <w:lvlJc w:val="left"/>
      <w:pPr>
        <w:ind w:left="0" w:firstLine="0"/>
      </w:pPr>
      <w:rPr>
        <w:rFonts w:hint="eastAsia" w:ascii="黑体" w:hAnsi="Times New Roman" w:eastAsia="黑体"/>
        <w:b w:val="0"/>
        <w:i w:val="0"/>
        <w:color w:val="000000" w:themeColor="text1"/>
        <w:sz w:val="21"/>
        <w:szCs w:val="21"/>
      </w:rPr>
    </w:lvl>
    <w:lvl w:ilvl="1" w:tentative="0">
      <w:start w:val="1"/>
      <w:numFmt w:val="decimal"/>
      <w:pStyle w:val="42"/>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1"/>
      <w:suff w:val="nothing"/>
      <w:lvlText w:val="%1.%2.%3　"/>
      <w:lvlJc w:val="left"/>
      <w:pPr>
        <w:ind w:left="0" w:firstLine="0"/>
      </w:pPr>
      <w:rPr>
        <w:rFonts w:hint="eastAsia" w:ascii="黑体" w:hAnsi="Times New Roman" w:eastAsia="黑体"/>
        <w:b w:val="0"/>
        <w:i w:val="0"/>
        <w:sz w:val="21"/>
      </w:rPr>
    </w:lvl>
    <w:lvl w:ilvl="3" w:tentative="0">
      <w:start w:val="1"/>
      <w:numFmt w:val="decimal"/>
      <w:pStyle w:val="40"/>
      <w:suff w:val="nothing"/>
      <w:lvlText w:val="%1.%2.%3.%4　"/>
      <w:lvlJc w:val="left"/>
      <w:pPr>
        <w:ind w:left="0" w:firstLine="0"/>
      </w:pPr>
      <w:rPr>
        <w:rFonts w:hint="eastAsia" w:ascii="黑体" w:hAnsi="Times New Roman" w:eastAsia="黑体"/>
        <w:b w:val="0"/>
        <w:i w:val="0"/>
        <w:sz w:val="21"/>
      </w:rPr>
    </w:lvl>
    <w:lvl w:ilvl="4" w:tentative="0">
      <w:start w:val="1"/>
      <w:numFmt w:val="decimal"/>
      <w:pStyle w:val="39"/>
      <w:suff w:val="nothing"/>
      <w:lvlText w:val="%1.%2.%3.%4.%5　"/>
      <w:lvlJc w:val="left"/>
      <w:pPr>
        <w:ind w:left="0" w:firstLine="0"/>
      </w:pPr>
      <w:rPr>
        <w:rFonts w:hint="eastAsia" w:ascii="黑体" w:hAnsi="Times New Roman" w:eastAsia="黑体"/>
        <w:b w:val="0"/>
        <w:i w:val="0"/>
        <w:sz w:val="21"/>
      </w:rPr>
    </w:lvl>
    <w:lvl w:ilvl="5" w:tentative="0">
      <w:start w:val="1"/>
      <w:numFmt w:val="decimal"/>
      <w:pStyle w:val="3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107"/>
      <w:suff w:val="space"/>
      <w:lvlText w:val="%1"/>
      <w:lvlJc w:val="left"/>
      <w:pPr>
        <w:ind w:left="623" w:hanging="425"/>
      </w:pPr>
      <w:rPr>
        <w:rFonts w:hint="eastAsia"/>
      </w:rPr>
    </w:lvl>
    <w:lvl w:ilvl="1" w:tentative="0">
      <w:start w:val="1"/>
      <w:numFmt w:val="decimal"/>
      <w:pStyle w:val="109"/>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68"/>
      <w:suff w:val="nothing"/>
      <w:lvlText w:val="%1——"/>
      <w:lvlJc w:val="left"/>
      <w:pPr>
        <w:ind w:left="833" w:hanging="408"/>
      </w:pPr>
      <w:rPr>
        <w:rFonts w:hint="eastAsia"/>
      </w:rPr>
    </w:lvl>
    <w:lvl w:ilvl="1" w:tentative="0">
      <w:start w:val="1"/>
      <w:numFmt w:val="bullet"/>
      <w:pStyle w:val="70"/>
      <w:lvlText w:val=""/>
      <w:lvlJc w:val="left"/>
      <w:pPr>
        <w:tabs>
          <w:tab w:val="left" w:pos="760"/>
        </w:tabs>
        <w:ind w:left="1264" w:hanging="413"/>
      </w:pPr>
      <w:rPr>
        <w:rFonts w:hint="default" w:ascii="Symbol" w:hAnsi="Symbol"/>
        <w:color w:val="auto"/>
      </w:rPr>
    </w:lvl>
    <w:lvl w:ilvl="2" w:tentative="0">
      <w:start w:val="1"/>
      <w:numFmt w:val="bullet"/>
      <w:pStyle w:val="83"/>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1"/>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82"/>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7"/>
      <w:lvlText w:val="%2)"/>
      <w:lvlJc w:val="left"/>
      <w:pPr>
        <w:tabs>
          <w:tab w:val="left" w:pos="1260"/>
        </w:tabs>
        <w:ind w:left="1259" w:hanging="419"/>
      </w:pPr>
      <w:rPr>
        <w:rFonts w:hint="eastAsia"/>
      </w:rPr>
    </w:lvl>
    <w:lvl w:ilvl="2" w:tentative="0">
      <w:start w:val="1"/>
      <w:numFmt w:val="decimal"/>
      <w:pStyle w:val="73"/>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85"/>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53"/>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1"/>
      <w:lvlText w:val="%1"/>
      <w:lvlJc w:val="left"/>
      <w:pPr>
        <w:tabs>
          <w:tab w:val="left" w:pos="0"/>
        </w:tabs>
        <w:ind w:left="0" w:hanging="425"/>
      </w:pPr>
      <w:rPr>
        <w:rFonts w:hint="eastAsia"/>
      </w:rPr>
    </w:lvl>
    <w:lvl w:ilvl="1" w:tentative="0">
      <w:start w:val="1"/>
      <w:numFmt w:val="decimal"/>
      <w:pStyle w:val="6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4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9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7"/>
      <w:suff w:val="nothing"/>
      <w:lvlText w:val="%1.%2.%3　"/>
      <w:lvlJc w:val="left"/>
      <w:pPr>
        <w:ind w:left="0" w:firstLine="0"/>
      </w:pPr>
      <w:rPr>
        <w:rFonts w:hint="eastAsia" w:ascii="黑体" w:hAnsi="Times New Roman" w:eastAsia="黑体"/>
        <w:b w:val="0"/>
        <w:i w:val="0"/>
        <w:sz w:val="21"/>
      </w:rPr>
    </w:lvl>
    <w:lvl w:ilvl="3" w:tentative="0">
      <w:start w:val="1"/>
      <w:numFmt w:val="decimal"/>
      <w:pStyle w:val="63"/>
      <w:suff w:val="nothing"/>
      <w:lvlText w:val="%1.%2.%3.%4　"/>
      <w:lvlJc w:val="left"/>
      <w:pPr>
        <w:ind w:left="0" w:firstLine="0"/>
      </w:pPr>
      <w:rPr>
        <w:rFonts w:hint="eastAsia" w:ascii="黑体" w:hAnsi="Times New Roman" w:eastAsia="黑体"/>
        <w:b w:val="0"/>
        <w:i w:val="0"/>
        <w:sz w:val="21"/>
      </w:rPr>
    </w:lvl>
    <w:lvl w:ilvl="4" w:tentative="0">
      <w:start w:val="1"/>
      <w:numFmt w:val="decimal"/>
      <w:pStyle w:val="62"/>
      <w:suff w:val="nothing"/>
      <w:lvlText w:val="%1.%2.%3.%4.%5　"/>
      <w:lvlJc w:val="left"/>
      <w:pPr>
        <w:ind w:left="0" w:firstLine="0"/>
      </w:pPr>
      <w:rPr>
        <w:rFonts w:hint="eastAsia" w:ascii="黑体" w:hAnsi="Times New Roman" w:eastAsia="黑体"/>
        <w:b w:val="0"/>
        <w:i w:val="0"/>
        <w:sz w:val="21"/>
      </w:rPr>
    </w:lvl>
    <w:lvl w:ilvl="5" w:tentative="0">
      <w:start w:val="1"/>
      <w:numFmt w:val="decimal"/>
      <w:pStyle w:val="103"/>
      <w:suff w:val="nothing"/>
      <w:lvlText w:val="%1.%2.%3.%4.%5.%6　"/>
      <w:lvlJc w:val="left"/>
      <w:pPr>
        <w:ind w:left="0" w:firstLine="0"/>
      </w:pPr>
      <w:rPr>
        <w:rFonts w:hint="eastAsia" w:ascii="黑体" w:hAnsi="Times New Roman" w:eastAsia="黑体"/>
        <w:b w:val="0"/>
        <w:i w:val="0"/>
        <w:sz w:val="21"/>
      </w:rPr>
    </w:lvl>
    <w:lvl w:ilvl="6" w:tentative="0">
      <w:start w:val="1"/>
      <w:numFmt w:val="decimal"/>
      <w:pStyle w:val="11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8"/>
      <w:lvlText w:val="%1)"/>
      <w:lvlJc w:val="left"/>
      <w:pPr>
        <w:tabs>
          <w:tab w:val="left" w:pos="839"/>
        </w:tabs>
        <w:ind w:left="839" w:hanging="419"/>
      </w:pPr>
      <w:rPr>
        <w:rFonts w:hint="eastAsia" w:ascii="宋体" w:eastAsia="宋体"/>
        <w:b w:val="0"/>
        <w:i w:val="0"/>
        <w:sz w:val="21"/>
      </w:rPr>
    </w:lvl>
    <w:lvl w:ilvl="1" w:tentative="0">
      <w:start w:val="1"/>
      <w:numFmt w:val="decimal"/>
      <w:pStyle w:val="10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72"/>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13"/>
  </w:num>
  <w:num w:numId="4">
    <w:abstractNumId w:val="11"/>
  </w:num>
  <w:num w:numId="5">
    <w:abstractNumId w:val="9"/>
  </w:num>
  <w:num w:numId="6">
    <w:abstractNumId w:val="12"/>
  </w:num>
  <w:num w:numId="7">
    <w:abstractNumId w:val="14"/>
  </w:num>
  <w:num w:numId="8">
    <w:abstractNumId w:val="2"/>
  </w:num>
  <w:num w:numId="9">
    <w:abstractNumId w:val="7"/>
  </w:num>
  <w:num w:numId="10">
    <w:abstractNumId w:val="16"/>
  </w:num>
  <w:num w:numId="11">
    <w:abstractNumId w:val="4"/>
  </w:num>
  <w:num w:numId="12">
    <w:abstractNumId w:val="0"/>
  </w:num>
  <w:num w:numId="13">
    <w:abstractNumId w:val="10"/>
  </w:num>
  <w:num w:numId="14">
    <w:abstractNumId w:val="1"/>
  </w:num>
  <w:num w:numId="15">
    <w:abstractNumId w:val="15"/>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4717D50"/>
    <w:rsid w:val="00000244"/>
    <w:rsid w:val="0000185F"/>
    <w:rsid w:val="0000586F"/>
    <w:rsid w:val="00013D86"/>
    <w:rsid w:val="00013E02"/>
    <w:rsid w:val="0002143C"/>
    <w:rsid w:val="00023A52"/>
    <w:rsid w:val="00025A65"/>
    <w:rsid w:val="00026C31"/>
    <w:rsid w:val="00027280"/>
    <w:rsid w:val="000320A7"/>
    <w:rsid w:val="00035925"/>
    <w:rsid w:val="00067CDF"/>
    <w:rsid w:val="00074FBE"/>
    <w:rsid w:val="00083A09"/>
    <w:rsid w:val="0009005E"/>
    <w:rsid w:val="00092857"/>
    <w:rsid w:val="000A20A9"/>
    <w:rsid w:val="000A48B1"/>
    <w:rsid w:val="000B3143"/>
    <w:rsid w:val="000C6B05"/>
    <w:rsid w:val="000C6DD6"/>
    <w:rsid w:val="000C73D4"/>
    <w:rsid w:val="000D3D4C"/>
    <w:rsid w:val="000D4F51"/>
    <w:rsid w:val="000D718B"/>
    <w:rsid w:val="000E0C46"/>
    <w:rsid w:val="000F030C"/>
    <w:rsid w:val="000F129C"/>
    <w:rsid w:val="000F3D17"/>
    <w:rsid w:val="001056DE"/>
    <w:rsid w:val="001124C0"/>
    <w:rsid w:val="00116A8D"/>
    <w:rsid w:val="0013175F"/>
    <w:rsid w:val="001512B4"/>
    <w:rsid w:val="001620A5"/>
    <w:rsid w:val="0016484B"/>
    <w:rsid w:val="00164E53"/>
    <w:rsid w:val="0016699D"/>
    <w:rsid w:val="001706BC"/>
    <w:rsid w:val="00175159"/>
    <w:rsid w:val="00176208"/>
    <w:rsid w:val="0018211B"/>
    <w:rsid w:val="00182D47"/>
    <w:rsid w:val="001840D3"/>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F3A19"/>
    <w:rsid w:val="00206FF3"/>
    <w:rsid w:val="00234467"/>
    <w:rsid w:val="00237D8D"/>
    <w:rsid w:val="00241DA2"/>
    <w:rsid w:val="00247FEE"/>
    <w:rsid w:val="00250E7D"/>
    <w:rsid w:val="002565D5"/>
    <w:rsid w:val="002622C0"/>
    <w:rsid w:val="00271056"/>
    <w:rsid w:val="002778AE"/>
    <w:rsid w:val="0028269A"/>
    <w:rsid w:val="00283590"/>
    <w:rsid w:val="00286973"/>
    <w:rsid w:val="00294E70"/>
    <w:rsid w:val="002A1924"/>
    <w:rsid w:val="002A7420"/>
    <w:rsid w:val="002B0F12"/>
    <w:rsid w:val="002B1308"/>
    <w:rsid w:val="002B4554"/>
    <w:rsid w:val="002C72D8"/>
    <w:rsid w:val="002D11FA"/>
    <w:rsid w:val="002E0DDF"/>
    <w:rsid w:val="002E2906"/>
    <w:rsid w:val="002E3345"/>
    <w:rsid w:val="002E5635"/>
    <w:rsid w:val="002E64C3"/>
    <w:rsid w:val="002E6A2C"/>
    <w:rsid w:val="002F1D8C"/>
    <w:rsid w:val="002F21DA"/>
    <w:rsid w:val="00301F39"/>
    <w:rsid w:val="003223D3"/>
    <w:rsid w:val="00325926"/>
    <w:rsid w:val="00327A8A"/>
    <w:rsid w:val="00336610"/>
    <w:rsid w:val="00343F73"/>
    <w:rsid w:val="00345060"/>
    <w:rsid w:val="0035323B"/>
    <w:rsid w:val="003609D2"/>
    <w:rsid w:val="00363F22"/>
    <w:rsid w:val="00375564"/>
    <w:rsid w:val="00381C4B"/>
    <w:rsid w:val="00383191"/>
    <w:rsid w:val="00386DED"/>
    <w:rsid w:val="003912E7"/>
    <w:rsid w:val="00393947"/>
    <w:rsid w:val="003A2275"/>
    <w:rsid w:val="003A6A4F"/>
    <w:rsid w:val="003A7088"/>
    <w:rsid w:val="003B00DF"/>
    <w:rsid w:val="003B1275"/>
    <w:rsid w:val="003B1778"/>
    <w:rsid w:val="003C11CB"/>
    <w:rsid w:val="003C75F3"/>
    <w:rsid w:val="003C78A3"/>
    <w:rsid w:val="003E1867"/>
    <w:rsid w:val="003E1C80"/>
    <w:rsid w:val="003E5729"/>
    <w:rsid w:val="003F4EE0"/>
    <w:rsid w:val="00402153"/>
    <w:rsid w:val="00402FC1"/>
    <w:rsid w:val="00425082"/>
    <w:rsid w:val="00431DEB"/>
    <w:rsid w:val="0043646C"/>
    <w:rsid w:val="00440899"/>
    <w:rsid w:val="00442488"/>
    <w:rsid w:val="00446B29"/>
    <w:rsid w:val="00453F9A"/>
    <w:rsid w:val="00471E91"/>
    <w:rsid w:val="00474675"/>
    <w:rsid w:val="0047470C"/>
    <w:rsid w:val="00483569"/>
    <w:rsid w:val="004A35F9"/>
    <w:rsid w:val="004B24C1"/>
    <w:rsid w:val="004C292F"/>
    <w:rsid w:val="00510280"/>
    <w:rsid w:val="00513D73"/>
    <w:rsid w:val="00514A43"/>
    <w:rsid w:val="005174E5"/>
    <w:rsid w:val="00522393"/>
    <w:rsid w:val="00522620"/>
    <w:rsid w:val="00525656"/>
    <w:rsid w:val="005265F0"/>
    <w:rsid w:val="00534C02"/>
    <w:rsid w:val="00541AEE"/>
    <w:rsid w:val="0054264B"/>
    <w:rsid w:val="00543786"/>
    <w:rsid w:val="005533D7"/>
    <w:rsid w:val="005703DE"/>
    <w:rsid w:val="0058464E"/>
    <w:rsid w:val="005A01CB"/>
    <w:rsid w:val="005A58FF"/>
    <w:rsid w:val="005A5EAF"/>
    <w:rsid w:val="005A64C0"/>
    <w:rsid w:val="005B3C11"/>
    <w:rsid w:val="005C1C28"/>
    <w:rsid w:val="005C6DB5"/>
    <w:rsid w:val="005E19E7"/>
    <w:rsid w:val="0061716C"/>
    <w:rsid w:val="006243A1"/>
    <w:rsid w:val="00632E56"/>
    <w:rsid w:val="00635CBA"/>
    <w:rsid w:val="0064338B"/>
    <w:rsid w:val="00646542"/>
    <w:rsid w:val="006504F4"/>
    <w:rsid w:val="00654BC9"/>
    <w:rsid w:val="006552FD"/>
    <w:rsid w:val="00663AF3"/>
    <w:rsid w:val="00666B6C"/>
    <w:rsid w:val="00682682"/>
    <w:rsid w:val="00682702"/>
    <w:rsid w:val="00692368"/>
    <w:rsid w:val="006A2EBC"/>
    <w:rsid w:val="006A5BA8"/>
    <w:rsid w:val="006A5EA0"/>
    <w:rsid w:val="006A6C94"/>
    <w:rsid w:val="006A783B"/>
    <w:rsid w:val="006A7B33"/>
    <w:rsid w:val="006B4E13"/>
    <w:rsid w:val="006B75DD"/>
    <w:rsid w:val="006C67E0"/>
    <w:rsid w:val="006C7ABA"/>
    <w:rsid w:val="006D0D60"/>
    <w:rsid w:val="006D1122"/>
    <w:rsid w:val="006D3C00"/>
    <w:rsid w:val="006E1D08"/>
    <w:rsid w:val="006E3675"/>
    <w:rsid w:val="006E4A7F"/>
    <w:rsid w:val="00704DF6"/>
    <w:rsid w:val="0070651C"/>
    <w:rsid w:val="007132A3"/>
    <w:rsid w:val="00716421"/>
    <w:rsid w:val="00724EFB"/>
    <w:rsid w:val="007419C3"/>
    <w:rsid w:val="007467A7"/>
    <w:rsid w:val="007469DD"/>
    <w:rsid w:val="0074741B"/>
    <w:rsid w:val="0074759E"/>
    <w:rsid w:val="007478EA"/>
    <w:rsid w:val="0075415C"/>
    <w:rsid w:val="00763502"/>
    <w:rsid w:val="007745A8"/>
    <w:rsid w:val="007913AB"/>
    <w:rsid w:val="007914F7"/>
    <w:rsid w:val="007B1625"/>
    <w:rsid w:val="007B706E"/>
    <w:rsid w:val="007B71EB"/>
    <w:rsid w:val="007B7DCF"/>
    <w:rsid w:val="007C3056"/>
    <w:rsid w:val="007C5412"/>
    <w:rsid w:val="007C6205"/>
    <w:rsid w:val="007C686A"/>
    <w:rsid w:val="007C728E"/>
    <w:rsid w:val="007D2C53"/>
    <w:rsid w:val="007D3D60"/>
    <w:rsid w:val="007E1980"/>
    <w:rsid w:val="007E4B76"/>
    <w:rsid w:val="007E5EA8"/>
    <w:rsid w:val="007F0CF1"/>
    <w:rsid w:val="007F12A5"/>
    <w:rsid w:val="007F2E1B"/>
    <w:rsid w:val="007F4CF1"/>
    <w:rsid w:val="007F5FEE"/>
    <w:rsid w:val="007F758D"/>
    <w:rsid w:val="007F7D52"/>
    <w:rsid w:val="0080654C"/>
    <w:rsid w:val="008071C6"/>
    <w:rsid w:val="00817A00"/>
    <w:rsid w:val="00835DB3"/>
    <w:rsid w:val="0083617B"/>
    <w:rsid w:val="008371BD"/>
    <w:rsid w:val="00840D1E"/>
    <w:rsid w:val="008504A8"/>
    <w:rsid w:val="0085282E"/>
    <w:rsid w:val="0087198C"/>
    <w:rsid w:val="00872C1F"/>
    <w:rsid w:val="00873B42"/>
    <w:rsid w:val="00874BCA"/>
    <w:rsid w:val="008856D8"/>
    <w:rsid w:val="00892E82"/>
    <w:rsid w:val="008C1B58"/>
    <w:rsid w:val="008C39AE"/>
    <w:rsid w:val="008C590D"/>
    <w:rsid w:val="008E031B"/>
    <w:rsid w:val="008E7029"/>
    <w:rsid w:val="008E7EF6"/>
    <w:rsid w:val="008F1F98"/>
    <w:rsid w:val="008F6758"/>
    <w:rsid w:val="009040DD"/>
    <w:rsid w:val="00905B47"/>
    <w:rsid w:val="00907577"/>
    <w:rsid w:val="0091331C"/>
    <w:rsid w:val="009279DE"/>
    <w:rsid w:val="00930116"/>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B2ADB"/>
    <w:rsid w:val="009B603A"/>
    <w:rsid w:val="009C2D0E"/>
    <w:rsid w:val="009C3DAC"/>
    <w:rsid w:val="009C42E0"/>
    <w:rsid w:val="009D5362"/>
    <w:rsid w:val="009E1415"/>
    <w:rsid w:val="009E6116"/>
    <w:rsid w:val="009F245E"/>
    <w:rsid w:val="00A02E43"/>
    <w:rsid w:val="00A065F9"/>
    <w:rsid w:val="00A07F34"/>
    <w:rsid w:val="00A20291"/>
    <w:rsid w:val="00A22154"/>
    <w:rsid w:val="00A25C38"/>
    <w:rsid w:val="00A36BBE"/>
    <w:rsid w:val="00A40A6E"/>
    <w:rsid w:val="00A4307A"/>
    <w:rsid w:val="00A47EBB"/>
    <w:rsid w:val="00A51CDD"/>
    <w:rsid w:val="00A6730D"/>
    <w:rsid w:val="00A71625"/>
    <w:rsid w:val="00A71B9B"/>
    <w:rsid w:val="00A751C7"/>
    <w:rsid w:val="00A87844"/>
    <w:rsid w:val="00AA038C"/>
    <w:rsid w:val="00AA7A09"/>
    <w:rsid w:val="00AB3B50"/>
    <w:rsid w:val="00AC05B1"/>
    <w:rsid w:val="00AD356C"/>
    <w:rsid w:val="00AE2914"/>
    <w:rsid w:val="00AE6D15"/>
    <w:rsid w:val="00B04182"/>
    <w:rsid w:val="00B07AE3"/>
    <w:rsid w:val="00B11430"/>
    <w:rsid w:val="00B353EB"/>
    <w:rsid w:val="00B439C4"/>
    <w:rsid w:val="00B4535E"/>
    <w:rsid w:val="00B52A8C"/>
    <w:rsid w:val="00B636A8"/>
    <w:rsid w:val="00B665C6"/>
    <w:rsid w:val="00B805AF"/>
    <w:rsid w:val="00B869EC"/>
    <w:rsid w:val="00B9397A"/>
    <w:rsid w:val="00B9633D"/>
    <w:rsid w:val="00BA2EBE"/>
    <w:rsid w:val="00BB0F28"/>
    <w:rsid w:val="00BB33BD"/>
    <w:rsid w:val="00BB458A"/>
    <w:rsid w:val="00BD00D3"/>
    <w:rsid w:val="00BD1659"/>
    <w:rsid w:val="00BD3AA9"/>
    <w:rsid w:val="00BD4A18"/>
    <w:rsid w:val="00BD6DB2"/>
    <w:rsid w:val="00BE11CF"/>
    <w:rsid w:val="00BE21AB"/>
    <w:rsid w:val="00BE2E35"/>
    <w:rsid w:val="00BE55CB"/>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601D2"/>
    <w:rsid w:val="00C613D7"/>
    <w:rsid w:val="00C657AB"/>
    <w:rsid w:val="00C65BCC"/>
    <w:rsid w:val="00C66970"/>
    <w:rsid w:val="00C8691C"/>
    <w:rsid w:val="00CA168A"/>
    <w:rsid w:val="00CA357E"/>
    <w:rsid w:val="00CA44F9"/>
    <w:rsid w:val="00CA4A69"/>
    <w:rsid w:val="00CC3E0C"/>
    <w:rsid w:val="00CC58D3"/>
    <w:rsid w:val="00CC784D"/>
    <w:rsid w:val="00CD05BE"/>
    <w:rsid w:val="00CD0644"/>
    <w:rsid w:val="00D0337B"/>
    <w:rsid w:val="00D05FC4"/>
    <w:rsid w:val="00D079B2"/>
    <w:rsid w:val="00D114E9"/>
    <w:rsid w:val="00D3484C"/>
    <w:rsid w:val="00D429C6"/>
    <w:rsid w:val="00D47748"/>
    <w:rsid w:val="00D54CC3"/>
    <w:rsid w:val="00D6041A"/>
    <w:rsid w:val="00D633EB"/>
    <w:rsid w:val="00D82FF7"/>
    <w:rsid w:val="00D847FE"/>
    <w:rsid w:val="00D90186"/>
    <w:rsid w:val="00D9185C"/>
    <w:rsid w:val="00D964EA"/>
    <w:rsid w:val="00D966D0"/>
    <w:rsid w:val="00DA0C59"/>
    <w:rsid w:val="00DA3991"/>
    <w:rsid w:val="00DB7E6C"/>
    <w:rsid w:val="00DD5A29"/>
    <w:rsid w:val="00DD5D9D"/>
    <w:rsid w:val="00DE35CB"/>
    <w:rsid w:val="00DF21E9"/>
    <w:rsid w:val="00E00F14"/>
    <w:rsid w:val="00E06386"/>
    <w:rsid w:val="00E10BC0"/>
    <w:rsid w:val="00E24EB4"/>
    <w:rsid w:val="00E320ED"/>
    <w:rsid w:val="00E33AFB"/>
    <w:rsid w:val="00E34218"/>
    <w:rsid w:val="00E45BA9"/>
    <w:rsid w:val="00E46282"/>
    <w:rsid w:val="00E5216E"/>
    <w:rsid w:val="00E6760C"/>
    <w:rsid w:val="00E73C5F"/>
    <w:rsid w:val="00E82344"/>
    <w:rsid w:val="00E84C82"/>
    <w:rsid w:val="00E84D64"/>
    <w:rsid w:val="00E87408"/>
    <w:rsid w:val="00E914C4"/>
    <w:rsid w:val="00E934F5"/>
    <w:rsid w:val="00E96961"/>
    <w:rsid w:val="00EA72EC"/>
    <w:rsid w:val="00EB11CB"/>
    <w:rsid w:val="00EB275A"/>
    <w:rsid w:val="00EB786A"/>
    <w:rsid w:val="00EC1578"/>
    <w:rsid w:val="00EC1C72"/>
    <w:rsid w:val="00EC3CC9"/>
    <w:rsid w:val="00EC680A"/>
    <w:rsid w:val="00EC7B74"/>
    <w:rsid w:val="00EE2BED"/>
    <w:rsid w:val="00EE374B"/>
    <w:rsid w:val="00EE472B"/>
    <w:rsid w:val="00F11BB5"/>
    <w:rsid w:val="00F1417B"/>
    <w:rsid w:val="00F21530"/>
    <w:rsid w:val="00F22EAB"/>
    <w:rsid w:val="00F33F7A"/>
    <w:rsid w:val="00F34B99"/>
    <w:rsid w:val="00F52DAB"/>
    <w:rsid w:val="00F543F0"/>
    <w:rsid w:val="00F81D29"/>
    <w:rsid w:val="00F91C4D"/>
    <w:rsid w:val="00F92FD9"/>
    <w:rsid w:val="00FA1090"/>
    <w:rsid w:val="00FA6684"/>
    <w:rsid w:val="00FA731E"/>
    <w:rsid w:val="00FB2B38"/>
    <w:rsid w:val="00FC6358"/>
    <w:rsid w:val="00FD320D"/>
    <w:rsid w:val="00FE23DE"/>
    <w:rsid w:val="13E93A3D"/>
    <w:rsid w:val="17797E8F"/>
    <w:rsid w:val="25964930"/>
    <w:rsid w:val="2A0B4AB3"/>
    <w:rsid w:val="389B34D7"/>
    <w:rsid w:val="4B3753C2"/>
    <w:rsid w:val="681B2014"/>
    <w:rsid w:val="6BC2738F"/>
    <w:rsid w:val="70D7088D"/>
    <w:rsid w:val="74717D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name="toc 4"/>
    <w:lsdException w:qFormat="1" w:unhideWhenUsed="0" w:uiPriority="0" w:name="toc 5"/>
    <w:lsdException w:unhideWhenUsed="0" w:uiPriority="0" w:name="toc 6"/>
    <w:lsdException w:unhideWhenUsed="0" w:uiPriority="0" w:name="toc 7"/>
    <w:lsdException w:unhideWhenUsed="0" w:uiPriority="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8">
    <w:name w:val="Default Paragraph Font"/>
    <w:semiHidden/>
    <w:unhideWhenUsed/>
    <w:uiPriority w:val="1"/>
  </w:style>
  <w:style w:type="table" w:default="1" w:styleId="35">
    <w:name w:val="Normal Table"/>
    <w:semiHidden/>
    <w:unhideWhenUsed/>
    <w:qFormat/>
    <w:uiPriority w:val="99"/>
    <w:tblPr>
      <w:tblLayout w:type="fixed"/>
      <w:tblCellMar>
        <w:top w:w="0" w:type="dxa"/>
        <w:left w:w="108" w:type="dxa"/>
        <w:bottom w:w="0" w:type="dxa"/>
        <w:right w:w="108" w:type="dxa"/>
      </w:tblCellMar>
    </w:tblPr>
  </w:style>
  <w:style w:type="paragraph" w:styleId="2">
    <w:name w:val="toc 7"/>
    <w:basedOn w:val="1"/>
    <w:next w:val="1"/>
    <w:semiHidden/>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index 6"/>
    <w:basedOn w:val="1"/>
    <w:next w:val="1"/>
    <w:qFormat/>
    <w:uiPriority w:val="0"/>
    <w:pPr>
      <w:ind w:left="1260" w:hanging="210"/>
      <w:jc w:val="left"/>
    </w:pPr>
    <w:rPr>
      <w:rFonts w:ascii="Calibri" w:hAnsi="Calibri"/>
      <w:sz w:val="20"/>
      <w:szCs w:val="20"/>
    </w:rPr>
  </w:style>
  <w:style w:type="paragraph" w:styleId="8">
    <w:name w:val="index 4"/>
    <w:basedOn w:val="1"/>
    <w:next w:val="1"/>
    <w:qFormat/>
    <w:uiPriority w:val="0"/>
    <w:pPr>
      <w:ind w:left="840" w:hanging="210"/>
      <w:jc w:val="left"/>
    </w:pPr>
    <w:rPr>
      <w:rFonts w:ascii="Calibri" w:hAnsi="Calibri"/>
      <w:sz w:val="20"/>
      <w:szCs w:val="20"/>
    </w:rPr>
  </w:style>
  <w:style w:type="paragraph" w:styleId="9">
    <w:name w:val="toc 5"/>
    <w:basedOn w:val="1"/>
    <w:next w:val="1"/>
    <w:semiHidden/>
    <w:qFormat/>
    <w:uiPriority w:val="0"/>
    <w:pPr>
      <w:tabs>
        <w:tab w:val="right" w:leader="dot" w:pos="9241"/>
      </w:tabs>
      <w:ind w:firstLine="300" w:firstLineChars="300"/>
      <w:jc w:val="left"/>
    </w:pPr>
    <w:rPr>
      <w:rFonts w:ascii="宋体"/>
      <w:szCs w:val="21"/>
    </w:rPr>
  </w:style>
  <w:style w:type="paragraph" w:styleId="10">
    <w:name w:val="toc 3"/>
    <w:basedOn w:val="1"/>
    <w:next w:val="1"/>
    <w:semiHidden/>
    <w:qFormat/>
    <w:uiPriority w:val="0"/>
    <w:pPr>
      <w:tabs>
        <w:tab w:val="right" w:leader="dot" w:pos="9241"/>
      </w:tabs>
      <w:ind w:firstLine="100" w:firstLineChars="100"/>
      <w:jc w:val="left"/>
    </w:pPr>
    <w:rPr>
      <w:rFonts w:ascii="宋体"/>
      <w:szCs w:val="21"/>
    </w:rPr>
  </w:style>
  <w:style w:type="paragraph" w:styleId="11">
    <w:name w:val="toc 8"/>
    <w:basedOn w:val="1"/>
    <w:next w:val="1"/>
    <w:semiHidden/>
    <w:uiPriority w:val="0"/>
    <w:pPr>
      <w:tabs>
        <w:tab w:val="right" w:leader="dot" w:pos="9241"/>
      </w:tabs>
      <w:ind w:firstLine="607" w:firstLineChars="600"/>
      <w:jc w:val="left"/>
    </w:pPr>
    <w:rPr>
      <w:rFonts w:ascii="宋体"/>
      <w:szCs w:val="21"/>
    </w:rPr>
  </w:style>
  <w:style w:type="paragraph" w:styleId="12">
    <w:name w:val="index 3"/>
    <w:basedOn w:val="1"/>
    <w:next w:val="1"/>
    <w:qFormat/>
    <w:uiPriority w:val="0"/>
    <w:pPr>
      <w:ind w:left="630" w:hanging="210"/>
      <w:jc w:val="left"/>
    </w:pPr>
    <w:rPr>
      <w:rFonts w:ascii="Calibri" w:hAnsi="Calibri"/>
      <w:sz w:val="20"/>
      <w:szCs w:val="20"/>
    </w:rPr>
  </w:style>
  <w:style w:type="paragraph" w:styleId="13">
    <w:name w:val="endnote text"/>
    <w:basedOn w:val="1"/>
    <w:semiHidden/>
    <w:qFormat/>
    <w:uiPriority w:val="0"/>
    <w:pPr>
      <w:snapToGrid w:val="0"/>
      <w:jc w:val="left"/>
    </w:pPr>
  </w:style>
  <w:style w:type="paragraph" w:styleId="14">
    <w:name w:val="footer"/>
    <w:basedOn w:val="1"/>
    <w:qFormat/>
    <w:uiPriority w:val="0"/>
    <w:pPr>
      <w:snapToGrid w:val="0"/>
      <w:ind w:right="210" w:rightChars="100"/>
      <w:jc w:val="right"/>
    </w:pPr>
    <w:rPr>
      <w:sz w:val="18"/>
      <w:szCs w:val="18"/>
    </w:rPr>
  </w:style>
  <w:style w:type="paragraph" w:styleId="15">
    <w:name w:val="header"/>
    <w:basedOn w:val="1"/>
    <w:qFormat/>
    <w:uiPriority w:val="0"/>
    <w:pPr>
      <w:snapToGrid w:val="0"/>
      <w:jc w:val="left"/>
    </w:pPr>
    <w:rPr>
      <w:sz w:val="18"/>
      <w:szCs w:val="18"/>
    </w:rPr>
  </w:style>
  <w:style w:type="paragraph" w:styleId="16">
    <w:name w:val="toc 1"/>
    <w:basedOn w:val="1"/>
    <w:next w:val="1"/>
    <w:semiHidden/>
    <w:qFormat/>
    <w:uiPriority w:val="0"/>
    <w:pPr>
      <w:tabs>
        <w:tab w:val="right" w:leader="dot" w:pos="9242"/>
      </w:tabs>
      <w:spacing w:beforeLines="25" w:afterLines="25"/>
      <w:jc w:val="left"/>
    </w:pPr>
    <w:rPr>
      <w:rFonts w:ascii="宋体"/>
      <w:szCs w:val="21"/>
    </w:rPr>
  </w:style>
  <w:style w:type="paragraph" w:styleId="17">
    <w:name w:val="toc 4"/>
    <w:basedOn w:val="1"/>
    <w:next w:val="1"/>
    <w:semiHidden/>
    <w:uiPriority w:val="0"/>
    <w:pPr>
      <w:tabs>
        <w:tab w:val="right" w:leader="dot" w:pos="9241"/>
      </w:tabs>
      <w:ind w:firstLine="200" w:firstLineChars="200"/>
      <w:jc w:val="left"/>
    </w:pPr>
    <w:rPr>
      <w:rFonts w:ascii="宋体"/>
      <w:szCs w:val="21"/>
    </w:rPr>
  </w:style>
  <w:style w:type="paragraph" w:styleId="18">
    <w:name w:val="index heading"/>
    <w:basedOn w:val="1"/>
    <w:next w:val="19"/>
    <w:qFormat/>
    <w:uiPriority w:val="0"/>
    <w:pPr>
      <w:spacing w:before="120" w:after="120"/>
      <w:jc w:val="center"/>
    </w:pPr>
    <w:rPr>
      <w:rFonts w:ascii="Calibri" w:hAnsi="Calibri"/>
      <w:b/>
      <w:bCs/>
      <w:iCs/>
      <w:szCs w:val="20"/>
    </w:rPr>
  </w:style>
  <w:style w:type="paragraph" w:styleId="19">
    <w:name w:val="index 1"/>
    <w:basedOn w:val="1"/>
    <w:next w:val="20"/>
    <w:qFormat/>
    <w:uiPriority w:val="0"/>
    <w:pPr>
      <w:tabs>
        <w:tab w:val="right" w:leader="dot" w:pos="9299"/>
      </w:tabs>
      <w:jc w:val="left"/>
    </w:pPr>
    <w:rPr>
      <w:rFonts w:ascii="宋体"/>
      <w:szCs w:val="21"/>
    </w:rPr>
  </w:style>
  <w:style w:type="paragraph" w:customStyle="1" w:styleId="20">
    <w:name w:val="段"/>
    <w:link w:val="130"/>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1">
    <w:name w:val="footnote text"/>
    <w:basedOn w:val="1"/>
    <w:uiPriority w:val="0"/>
    <w:pPr>
      <w:numPr>
        <w:ilvl w:val="0"/>
        <w:numId w:val="1"/>
      </w:numPr>
      <w:snapToGrid w:val="0"/>
      <w:jc w:val="left"/>
    </w:pPr>
    <w:rPr>
      <w:rFonts w:ascii="宋体"/>
      <w:sz w:val="18"/>
      <w:szCs w:val="18"/>
    </w:rPr>
  </w:style>
  <w:style w:type="paragraph" w:styleId="22">
    <w:name w:val="toc 6"/>
    <w:basedOn w:val="1"/>
    <w:next w:val="1"/>
    <w:semiHidden/>
    <w:uiPriority w:val="0"/>
    <w:pPr>
      <w:tabs>
        <w:tab w:val="right" w:leader="dot" w:pos="9241"/>
      </w:tabs>
      <w:ind w:firstLine="400" w:firstLineChars="400"/>
      <w:jc w:val="left"/>
    </w:pPr>
    <w:rPr>
      <w:rFonts w:ascii="宋体"/>
      <w:szCs w:val="21"/>
    </w:rPr>
  </w:style>
  <w:style w:type="paragraph" w:styleId="23">
    <w:name w:val="index 7"/>
    <w:basedOn w:val="1"/>
    <w:next w:val="1"/>
    <w:uiPriority w:val="0"/>
    <w:pPr>
      <w:ind w:left="1470" w:hanging="210"/>
      <w:jc w:val="left"/>
    </w:pPr>
    <w:rPr>
      <w:rFonts w:ascii="Calibri" w:hAnsi="Calibri"/>
      <w:sz w:val="20"/>
      <w:szCs w:val="20"/>
    </w:rPr>
  </w:style>
  <w:style w:type="paragraph" w:styleId="24">
    <w:name w:val="index 9"/>
    <w:basedOn w:val="1"/>
    <w:next w:val="1"/>
    <w:uiPriority w:val="0"/>
    <w:pPr>
      <w:ind w:left="1890" w:hanging="210"/>
      <w:jc w:val="left"/>
    </w:pPr>
    <w:rPr>
      <w:rFonts w:ascii="Calibri" w:hAnsi="Calibri"/>
      <w:sz w:val="20"/>
      <w:szCs w:val="20"/>
    </w:rPr>
  </w:style>
  <w:style w:type="paragraph" w:styleId="25">
    <w:name w:val="toc 2"/>
    <w:basedOn w:val="1"/>
    <w:next w:val="1"/>
    <w:semiHidden/>
    <w:qFormat/>
    <w:uiPriority w:val="0"/>
    <w:pPr>
      <w:tabs>
        <w:tab w:val="right" w:leader="dot" w:pos="9242"/>
      </w:tabs>
    </w:pPr>
    <w:rPr>
      <w:rFonts w:ascii="宋体"/>
      <w:szCs w:val="21"/>
    </w:rPr>
  </w:style>
  <w:style w:type="paragraph" w:styleId="26">
    <w:name w:val="toc 9"/>
    <w:basedOn w:val="1"/>
    <w:next w:val="1"/>
    <w:semiHidden/>
    <w:qFormat/>
    <w:uiPriority w:val="0"/>
    <w:pPr>
      <w:ind w:left="1470"/>
      <w:jc w:val="left"/>
    </w:pPr>
    <w:rPr>
      <w:sz w:val="20"/>
      <w:szCs w:val="20"/>
    </w:rPr>
  </w:style>
  <w:style w:type="paragraph" w:styleId="27">
    <w:name w:val="index 2"/>
    <w:basedOn w:val="1"/>
    <w:next w:val="1"/>
    <w:qFormat/>
    <w:uiPriority w:val="0"/>
    <w:pPr>
      <w:ind w:left="420" w:hanging="210"/>
      <w:jc w:val="left"/>
    </w:pPr>
    <w:rPr>
      <w:rFonts w:ascii="Calibri" w:hAnsi="Calibri"/>
      <w:sz w:val="20"/>
      <w:szCs w:val="20"/>
    </w:rPr>
  </w:style>
  <w:style w:type="character" w:styleId="29">
    <w:name w:val="Strong"/>
    <w:basedOn w:val="28"/>
    <w:qFormat/>
    <w:uiPriority w:val="0"/>
    <w:rPr>
      <w:b/>
      <w:bCs/>
    </w:rPr>
  </w:style>
  <w:style w:type="character" w:styleId="30">
    <w:name w:val="endnote reference"/>
    <w:basedOn w:val="28"/>
    <w:semiHidden/>
    <w:uiPriority w:val="0"/>
    <w:rPr>
      <w:vertAlign w:val="superscript"/>
    </w:rPr>
  </w:style>
  <w:style w:type="character" w:styleId="31">
    <w:name w:val="page number"/>
    <w:basedOn w:val="28"/>
    <w:qFormat/>
    <w:uiPriority w:val="0"/>
    <w:rPr>
      <w:rFonts w:ascii="Times New Roman" w:hAnsi="Times New Roman" w:eastAsia="宋体"/>
      <w:sz w:val="18"/>
    </w:rPr>
  </w:style>
  <w:style w:type="character" w:styleId="32">
    <w:name w:val="FollowedHyperlink"/>
    <w:basedOn w:val="28"/>
    <w:uiPriority w:val="0"/>
    <w:rPr>
      <w:color w:val="800080"/>
      <w:u w:val="single"/>
    </w:rPr>
  </w:style>
  <w:style w:type="character" w:styleId="33">
    <w:name w:val="Hyperlink"/>
    <w:basedOn w:val="28"/>
    <w:qFormat/>
    <w:uiPriority w:val="0"/>
    <w:rPr>
      <w:color w:val="0000FF"/>
      <w:spacing w:val="0"/>
      <w:w w:val="100"/>
      <w:szCs w:val="21"/>
      <w:u w:val="single"/>
    </w:rPr>
  </w:style>
  <w:style w:type="character" w:styleId="34">
    <w:name w:val="footnote reference"/>
    <w:basedOn w:val="28"/>
    <w:semiHidden/>
    <w:qFormat/>
    <w:uiPriority w:val="0"/>
    <w:rPr>
      <w:vertAlign w:val="superscript"/>
    </w:rPr>
  </w:style>
  <w:style w:type="table" w:styleId="36">
    <w:name w:val="Table Grid"/>
    <w:basedOn w:val="35"/>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37">
    <w:name w:val="五级无"/>
    <w:basedOn w:val="38"/>
    <w:uiPriority w:val="0"/>
    <w:pPr>
      <w:spacing w:beforeLines="0" w:afterLines="0"/>
    </w:pPr>
    <w:rPr>
      <w:rFonts w:ascii="宋体" w:eastAsia="宋体"/>
    </w:rPr>
  </w:style>
  <w:style w:type="paragraph" w:customStyle="1" w:styleId="38">
    <w:name w:val="五级条标题"/>
    <w:basedOn w:val="39"/>
    <w:next w:val="20"/>
    <w:qFormat/>
    <w:uiPriority w:val="0"/>
    <w:pPr>
      <w:numPr>
        <w:ilvl w:val="5"/>
      </w:numPr>
      <w:outlineLvl w:val="6"/>
    </w:pPr>
  </w:style>
  <w:style w:type="paragraph" w:customStyle="1" w:styleId="39">
    <w:name w:val="四级条标题"/>
    <w:basedOn w:val="40"/>
    <w:next w:val="20"/>
    <w:uiPriority w:val="0"/>
    <w:pPr>
      <w:numPr>
        <w:ilvl w:val="4"/>
      </w:numPr>
      <w:outlineLvl w:val="5"/>
    </w:pPr>
  </w:style>
  <w:style w:type="paragraph" w:customStyle="1" w:styleId="40">
    <w:name w:val="三级条标题"/>
    <w:basedOn w:val="41"/>
    <w:next w:val="20"/>
    <w:qFormat/>
    <w:uiPriority w:val="0"/>
    <w:pPr>
      <w:numPr>
        <w:ilvl w:val="3"/>
      </w:numPr>
      <w:outlineLvl w:val="4"/>
    </w:pPr>
  </w:style>
  <w:style w:type="paragraph" w:customStyle="1" w:styleId="41">
    <w:name w:val="二级条标题"/>
    <w:basedOn w:val="42"/>
    <w:next w:val="20"/>
    <w:qFormat/>
    <w:uiPriority w:val="0"/>
    <w:pPr>
      <w:numPr>
        <w:ilvl w:val="2"/>
      </w:numPr>
      <w:spacing w:before="50" w:after="50"/>
      <w:outlineLvl w:val="3"/>
    </w:pPr>
  </w:style>
  <w:style w:type="paragraph" w:customStyle="1" w:styleId="42">
    <w:name w:val="一级条标题"/>
    <w:next w:val="20"/>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3">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4">
    <w:name w:val="终结线"/>
    <w:basedOn w:val="1"/>
    <w:qFormat/>
    <w:uiPriority w:val="0"/>
    <w:pPr>
      <w:framePr w:hSpace="181" w:vSpace="181" w:wrap="around" w:vAnchor="text" w:hAnchor="margin" w:xAlign="center" w:y="285"/>
    </w:pPr>
  </w:style>
  <w:style w:type="paragraph" w:customStyle="1" w:styleId="45">
    <w:name w:val="一级无"/>
    <w:basedOn w:val="42"/>
    <w:qFormat/>
    <w:uiPriority w:val="0"/>
    <w:pPr>
      <w:spacing w:beforeLines="0" w:afterLines="0"/>
    </w:pPr>
    <w:rPr>
      <w:rFonts w:ascii="宋体" w:eastAsia="宋体"/>
    </w:rPr>
  </w:style>
  <w:style w:type="paragraph" w:customStyle="1" w:styleId="46">
    <w:name w:val="其他发布日期"/>
    <w:basedOn w:val="47"/>
    <w:qFormat/>
    <w:uiPriority w:val="0"/>
    <w:pPr>
      <w:framePr w:vAnchor="page" w:hAnchor="text" w:x="1419"/>
    </w:pPr>
  </w:style>
  <w:style w:type="paragraph" w:customStyle="1" w:styleId="47">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48">
    <w:name w:val="正文表标题"/>
    <w:next w:val="20"/>
    <w:qFormat/>
    <w:uiPriority w:val="0"/>
    <w:pPr>
      <w:numPr>
        <w:ilvl w:val="0"/>
        <w:numId w:val="3"/>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49">
    <w:name w:val="封面一致性程度标识2"/>
    <w:basedOn w:val="50"/>
    <w:qFormat/>
    <w:uiPriority w:val="0"/>
    <w:pPr>
      <w:framePr w:y="4469"/>
    </w:pPr>
  </w:style>
  <w:style w:type="paragraph" w:customStyle="1" w:styleId="50">
    <w:name w:val="封面一致性程度标识"/>
    <w:basedOn w:val="51"/>
    <w:qFormat/>
    <w:uiPriority w:val="0"/>
    <w:pPr>
      <w:framePr/>
      <w:spacing w:before="440"/>
    </w:pPr>
    <w:rPr>
      <w:rFonts w:ascii="宋体" w:eastAsia="宋体"/>
    </w:rPr>
  </w:style>
  <w:style w:type="paragraph" w:customStyle="1" w:styleId="51">
    <w:name w:val="封面标准英文名称"/>
    <w:basedOn w:val="52"/>
    <w:qFormat/>
    <w:uiPriority w:val="0"/>
    <w:pPr>
      <w:framePr/>
      <w:spacing w:before="370" w:line="400" w:lineRule="exact"/>
    </w:pPr>
    <w:rPr>
      <w:rFonts w:ascii="Times New Roman"/>
      <w:sz w:val="28"/>
      <w:szCs w:val="28"/>
    </w:rPr>
  </w:style>
  <w:style w:type="paragraph" w:customStyle="1" w:styleId="52">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3">
    <w:name w:val="正文图标题"/>
    <w:next w:val="20"/>
    <w:qFormat/>
    <w:uiPriority w:val="0"/>
    <w:pPr>
      <w:numPr>
        <w:ilvl w:val="0"/>
        <w:numId w:val="4"/>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54">
    <w:name w:val="封面标准文稿类别2"/>
    <w:basedOn w:val="55"/>
    <w:qFormat/>
    <w:uiPriority w:val="0"/>
    <w:pPr>
      <w:framePr w:y="4469"/>
    </w:pPr>
  </w:style>
  <w:style w:type="paragraph" w:customStyle="1" w:styleId="55">
    <w:name w:val="封面标准文稿类别"/>
    <w:basedOn w:val="50"/>
    <w:qFormat/>
    <w:uiPriority w:val="0"/>
    <w:pPr>
      <w:framePr/>
      <w:spacing w:after="160" w:line="240" w:lineRule="auto"/>
    </w:pPr>
    <w:rPr>
      <w:sz w:val="24"/>
    </w:rPr>
  </w:style>
  <w:style w:type="paragraph" w:customStyle="1" w:styleId="56">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7">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8">
    <w:name w:val="章标题"/>
    <w:next w:val="20"/>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5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60">
    <w:name w:val="目次、标准名称标题"/>
    <w:basedOn w:val="1"/>
    <w:next w:val="20"/>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1">
    <w:name w:val="附录表标题"/>
    <w:basedOn w:val="1"/>
    <w:next w:val="20"/>
    <w:qFormat/>
    <w:uiPriority w:val="0"/>
    <w:pPr>
      <w:numPr>
        <w:ilvl w:val="1"/>
        <w:numId w:val="6"/>
      </w:numPr>
      <w:tabs>
        <w:tab w:val="left" w:pos="180"/>
      </w:tabs>
      <w:spacing w:beforeLines="50" w:afterLines="50"/>
      <w:ind w:left="0" w:firstLine="0"/>
      <w:jc w:val="center"/>
    </w:pPr>
    <w:rPr>
      <w:rFonts w:ascii="黑体" w:eastAsia="黑体"/>
      <w:szCs w:val="21"/>
    </w:rPr>
  </w:style>
  <w:style w:type="paragraph" w:customStyle="1" w:styleId="62">
    <w:name w:val="附录三级条标题"/>
    <w:basedOn w:val="63"/>
    <w:next w:val="20"/>
    <w:qFormat/>
    <w:uiPriority w:val="0"/>
    <w:pPr>
      <w:numPr>
        <w:ilvl w:val="4"/>
      </w:numPr>
      <w:tabs>
        <w:tab w:val="left" w:pos="360"/>
      </w:tabs>
      <w:outlineLvl w:val="4"/>
    </w:pPr>
  </w:style>
  <w:style w:type="paragraph" w:customStyle="1" w:styleId="63">
    <w:name w:val="附录二级条标题"/>
    <w:basedOn w:val="1"/>
    <w:next w:val="20"/>
    <w:qFormat/>
    <w:uiPriority w:val="0"/>
    <w:pPr>
      <w:widowControl/>
      <w:numPr>
        <w:ilvl w:val="3"/>
        <w:numId w:val="7"/>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64">
    <w:name w:val="示例"/>
    <w:next w:val="56"/>
    <w:qFormat/>
    <w:uiPriority w:val="0"/>
    <w:pPr>
      <w:widowControl w:val="0"/>
      <w:numPr>
        <w:ilvl w:val="0"/>
        <w:numId w:val="8"/>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67">
    <w:name w:val="附录公式编号制表符"/>
    <w:basedOn w:val="1"/>
    <w:next w:val="20"/>
    <w:qFormat/>
    <w:uiPriority w:val="0"/>
    <w:pPr>
      <w:widowControl/>
      <w:tabs>
        <w:tab w:val="center" w:pos="4201"/>
        <w:tab w:val="right" w:leader="dot" w:pos="9298"/>
      </w:tabs>
      <w:autoSpaceDE w:val="0"/>
      <w:autoSpaceDN w:val="0"/>
    </w:pPr>
    <w:rPr>
      <w:rFonts w:ascii="宋体"/>
      <w:kern w:val="0"/>
      <w:szCs w:val="20"/>
    </w:rPr>
  </w:style>
  <w:style w:type="paragraph" w:customStyle="1" w:styleId="68">
    <w:name w:val="列项——（一级）"/>
    <w:qFormat/>
    <w:uiPriority w:val="0"/>
    <w:pPr>
      <w:widowControl w:val="0"/>
      <w:numPr>
        <w:ilvl w:val="0"/>
        <w:numId w:val="9"/>
      </w:numPr>
      <w:jc w:val="both"/>
    </w:pPr>
    <w:rPr>
      <w:rFonts w:ascii="宋体" w:hAnsi="Times New Roman" w:eastAsia="宋体" w:cs="Times New Roman"/>
      <w:sz w:val="21"/>
      <w:lang w:val="en-US" w:eastAsia="zh-CN" w:bidi="ar-SA"/>
    </w:rPr>
  </w:style>
  <w:style w:type="paragraph" w:customStyle="1" w:styleId="69">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0">
    <w:name w:val="列项●（二级）"/>
    <w:uiPriority w:val="0"/>
    <w:pPr>
      <w:numPr>
        <w:ilvl w:val="1"/>
        <w:numId w:val="9"/>
      </w:numPr>
      <w:tabs>
        <w:tab w:val="left" w:pos="840"/>
      </w:tabs>
      <w:jc w:val="both"/>
    </w:pPr>
    <w:rPr>
      <w:rFonts w:ascii="宋体" w:hAnsi="Times New Roman" w:eastAsia="宋体" w:cs="Times New Roman"/>
      <w:sz w:val="21"/>
      <w:lang w:val="en-US" w:eastAsia="zh-CN" w:bidi="ar-SA"/>
    </w:rPr>
  </w:style>
  <w:style w:type="paragraph" w:customStyle="1" w:styleId="71">
    <w:name w:val="注：（正文）"/>
    <w:basedOn w:val="72"/>
    <w:next w:val="20"/>
    <w:uiPriority w:val="0"/>
  </w:style>
  <w:style w:type="paragraph" w:customStyle="1" w:styleId="72">
    <w:name w:val="注："/>
    <w:next w:val="20"/>
    <w:uiPriority w:val="0"/>
    <w:pPr>
      <w:widowControl w:val="0"/>
      <w:numPr>
        <w:ilvl w:val="0"/>
        <w:numId w:val="10"/>
      </w:numPr>
      <w:autoSpaceDE w:val="0"/>
      <w:autoSpaceDN w:val="0"/>
      <w:jc w:val="both"/>
    </w:pPr>
    <w:rPr>
      <w:rFonts w:ascii="宋体" w:hAnsi="Times New Roman" w:eastAsia="宋体" w:cs="Times New Roman"/>
      <w:sz w:val="18"/>
      <w:szCs w:val="18"/>
      <w:lang w:val="en-US" w:eastAsia="zh-CN" w:bidi="ar-SA"/>
    </w:rPr>
  </w:style>
  <w:style w:type="paragraph" w:customStyle="1" w:styleId="73">
    <w:name w:val="编号列项（三级）"/>
    <w:uiPriority w:val="0"/>
    <w:pPr>
      <w:numPr>
        <w:ilvl w:val="2"/>
        <w:numId w:val="5"/>
      </w:numPr>
    </w:pPr>
    <w:rPr>
      <w:rFonts w:ascii="宋体" w:hAnsi="Times New Roman" w:eastAsia="宋体" w:cs="Times New Roman"/>
      <w:sz w:val="21"/>
      <w:lang w:val="en-US" w:eastAsia="zh-CN" w:bidi="ar-SA"/>
    </w:rPr>
  </w:style>
  <w:style w:type="paragraph" w:customStyle="1" w:styleId="74">
    <w:name w:val="标准书眉_偶数页"/>
    <w:basedOn w:val="59"/>
    <w:next w:val="1"/>
    <w:uiPriority w:val="0"/>
    <w:pPr>
      <w:jc w:val="left"/>
    </w:pPr>
  </w:style>
  <w:style w:type="paragraph" w:customStyle="1" w:styleId="75">
    <w:name w:val="参考文献、索引标题"/>
    <w:basedOn w:val="1"/>
    <w:next w:val="20"/>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6">
    <w:name w:val="注×：（正文）"/>
    <w:uiPriority w:val="0"/>
    <w:pPr>
      <w:numPr>
        <w:ilvl w:val="0"/>
        <w:numId w:val="11"/>
      </w:numPr>
      <w:jc w:val="both"/>
    </w:pPr>
    <w:rPr>
      <w:rFonts w:ascii="宋体" w:hAnsi="Times New Roman" w:eastAsia="宋体" w:cs="Times New Roman"/>
      <w:sz w:val="18"/>
      <w:szCs w:val="18"/>
      <w:lang w:val="en-US" w:eastAsia="zh-CN" w:bidi="ar-SA"/>
    </w:rPr>
  </w:style>
  <w:style w:type="paragraph" w:customStyle="1" w:styleId="77">
    <w:name w:val="注×："/>
    <w:uiPriority w:val="0"/>
    <w:pPr>
      <w:widowControl w:val="0"/>
      <w:numPr>
        <w:ilvl w:val="0"/>
        <w:numId w:val="12"/>
      </w:numPr>
      <w:autoSpaceDE w:val="0"/>
      <w:autoSpaceDN w:val="0"/>
      <w:jc w:val="both"/>
    </w:pPr>
    <w:rPr>
      <w:rFonts w:ascii="宋体" w:hAnsi="Times New Roman" w:eastAsia="宋体" w:cs="Times New Roman"/>
      <w:sz w:val="18"/>
      <w:szCs w:val="18"/>
      <w:lang w:val="en-US" w:eastAsia="zh-CN" w:bidi="ar-SA"/>
    </w:rPr>
  </w:style>
  <w:style w:type="paragraph" w:customStyle="1" w:styleId="78">
    <w:name w:val="附录公式"/>
    <w:basedOn w:val="20"/>
    <w:next w:val="20"/>
    <w:link w:val="129"/>
    <w:qFormat/>
    <w:uiPriority w:val="0"/>
  </w:style>
  <w:style w:type="paragraph" w:customStyle="1" w:styleId="79">
    <w:name w:val="二级无"/>
    <w:basedOn w:val="41"/>
    <w:uiPriority w:val="0"/>
    <w:pPr>
      <w:spacing w:beforeLines="0" w:afterLines="0"/>
    </w:pPr>
    <w:rPr>
      <w:rFonts w:ascii="宋体" w:eastAsia="宋体"/>
    </w:rPr>
  </w:style>
  <w:style w:type="paragraph" w:customStyle="1" w:styleId="80">
    <w:name w:val="标准书眉一"/>
    <w:uiPriority w:val="0"/>
    <w:pPr>
      <w:jc w:val="both"/>
    </w:pPr>
    <w:rPr>
      <w:rFonts w:ascii="Times New Roman" w:hAnsi="Times New Roman" w:eastAsia="宋体" w:cs="Times New Roman"/>
      <w:lang w:val="en-US" w:eastAsia="zh-CN" w:bidi="ar-SA"/>
    </w:rPr>
  </w:style>
  <w:style w:type="paragraph" w:customStyle="1" w:styleId="81">
    <w:name w:val="附录表标号"/>
    <w:basedOn w:val="1"/>
    <w:next w:val="20"/>
    <w:uiPriority w:val="0"/>
    <w:pPr>
      <w:numPr>
        <w:ilvl w:val="0"/>
        <w:numId w:val="6"/>
      </w:numPr>
      <w:tabs>
        <w:tab w:val="clear" w:pos="0"/>
      </w:tabs>
      <w:spacing w:line="14" w:lineRule="exact"/>
      <w:ind w:left="811" w:hanging="448"/>
      <w:jc w:val="center"/>
      <w:outlineLvl w:val="0"/>
    </w:pPr>
    <w:rPr>
      <w:color w:val="FFFFFF"/>
    </w:rPr>
  </w:style>
  <w:style w:type="paragraph" w:customStyle="1" w:styleId="82">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83">
    <w:name w:val="列项◆（三级）"/>
    <w:basedOn w:val="1"/>
    <w:uiPriority w:val="0"/>
    <w:pPr>
      <w:numPr>
        <w:ilvl w:val="2"/>
        <w:numId w:val="9"/>
      </w:numPr>
    </w:pPr>
    <w:rPr>
      <w:rFonts w:ascii="宋体"/>
      <w:szCs w:val="21"/>
    </w:rPr>
  </w:style>
  <w:style w:type="paragraph" w:customStyle="1" w:styleId="84">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5">
    <w:name w:val="示例×："/>
    <w:basedOn w:val="58"/>
    <w:qFormat/>
    <w:uiPriority w:val="0"/>
    <w:pPr>
      <w:numPr>
        <w:numId w:val="13"/>
      </w:numPr>
      <w:spacing w:beforeLines="0" w:afterLines="0"/>
      <w:outlineLvl w:val="9"/>
    </w:pPr>
    <w:rPr>
      <w:rFonts w:ascii="宋体" w:eastAsia="宋体"/>
      <w:sz w:val="18"/>
      <w:szCs w:val="18"/>
    </w:rPr>
  </w:style>
  <w:style w:type="paragraph" w:customStyle="1" w:styleId="86">
    <w:name w:val="参考文献"/>
    <w:basedOn w:val="1"/>
    <w:next w:val="20"/>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7">
    <w:name w:val="实施日期"/>
    <w:basedOn w:val="47"/>
    <w:uiPriority w:val="0"/>
    <w:pPr>
      <w:framePr w:vAnchor="page" w:hAnchor="text"/>
      <w:jc w:val="right"/>
    </w:pPr>
  </w:style>
  <w:style w:type="paragraph" w:customStyle="1" w:styleId="88">
    <w:name w:val="发布部门"/>
    <w:next w:val="20"/>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9">
    <w:name w:val="首示例"/>
    <w:next w:val="20"/>
    <w:link w:val="131"/>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paragraph" w:customStyle="1" w:styleId="90">
    <w:name w:val="封面标准文稿编辑信息"/>
    <w:basedOn w:val="55"/>
    <w:uiPriority w:val="0"/>
    <w:pPr>
      <w:framePr/>
      <w:spacing w:before="180" w:line="180" w:lineRule="exact"/>
    </w:pPr>
    <w:rPr>
      <w:sz w:val="21"/>
    </w:rPr>
  </w:style>
  <w:style w:type="paragraph" w:customStyle="1" w:styleId="91">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92">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3">
    <w:name w:val="封面正文"/>
    <w:uiPriority w:val="0"/>
    <w:pPr>
      <w:jc w:val="both"/>
    </w:pPr>
    <w:rPr>
      <w:rFonts w:ascii="Times New Roman" w:hAnsi="Times New Roman" w:eastAsia="宋体" w:cs="Times New Roman"/>
      <w:lang w:val="en-US" w:eastAsia="zh-CN" w:bidi="ar-SA"/>
    </w:rPr>
  </w:style>
  <w:style w:type="paragraph" w:customStyle="1" w:styleId="94">
    <w:name w:val="附录标识"/>
    <w:basedOn w:val="1"/>
    <w:next w:val="20"/>
    <w:qFormat/>
    <w:uiPriority w:val="0"/>
    <w:pPr>
      <w:keepNext/>
      <w:widowControl/>
      <w:numPr>
        <w:ilvl w:val="0"/>
        <w:numId w:val="7"/>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5">
    <w:name w:val="附录标题"/>
    <w:basedOn w:val="20"/>
    <w:next w:val="20"/>
    <w:qFormat/>
    <w:uiPriority w:val="0"/>
    <w:pPr>
      <w:ind w:firstLine="0" w:firstLineChars="0"/>
      <w:jc w:val="center"/>
    </w:pPr>
    <w:rPr>
      <w:rFonts w:ascii="黑体" w:eastAsia="黑体"/>
    </w:rPr>
  </w:style>
  <w:style w:type="paragraph" w:customStyle="1" w:styleId="96">
    <w:name w:val="附录二级无"/>
    <w:basedOn w:val="63"/>
    <w:qFormat/>
    <w:uiPriority w:val="0"/>
    <w:pPr>
      <w:tabs>
        <w:tab w:val="clear" w:pos="360"/>
      </w:tabs>
      <w:spacing w:beforeLines="0" w:afterLines="0"/>
    </w:pPr>
    <w:rPr>
      <w:rFonts w:ascii="宋体" w:eastAsia="宋体"/>
      <w:szCs w:val="21"/>
    </w:rPr>
  </w:style>
  <w:style w:type="paragraph" w:customStyle="1" w:styleId="97">
    <w:name w:val="图的脚注"/>
    <w:next w:val="20"/>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98">
    <w:name w:val="附录章标题"/>
    <w:next w:val="20"/>
    <w:qFormat/>
    <w:uiPriority w:val="0"/>
    <w:pPr>
      <w:numPr>
        <w:ilvl w:val="1"/>
        <w:numId w:val="7"/>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9">
    <w:name w:val="附录三级无"/>
    <w:basedOn w:val="62"/>
    <w:qFormat/>
    <w:uiPriority w:val="0"/>
    <w:pPr>
      <w:tabs>
        <w:tab w:val="clear" w:pos="360"/>
      </w:tabs>
      <w:spacing w:beforeLines="0" w:afterLines="0"/>
    </w:pPr>
    <w:rPr>
      <w:rFonts w:ascii="宋体" w:eastAsia="宋体"/>
      <w:szCs w:val="21"/>
    </w:rPr>
  </w:style>
  <w:style w:type="paragraph" w:customStyle="1" w:styleId="10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1">
    <w:name w:val="附录数字编号列项（二级）"/>
    <w:qFormat/>
    <w:uiPriority w:val="0"/>
    <w:pPr>
      <w:numPr>
        <w:ilvl w:val="1"/>
        <w:numId w:val="15"/>
      </w:numPr>
    </w:pPr>
    <w:rPr>
      <w:rFonts w:ascii="宋体" w:hAnsi="Times New Roman" w:eastAsia="宋体" w:cs="Times New Roman"/>
      <w:sz w:val="21"/>
      <w:lang w:val="en-US" w:eastAsia="zh-CN" w:bidi="ar-SA"/>
    </w:rPr>
  </w:style>
  <w:style w:type="paragraph" w:customStyle="1" w:styleId="102">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3">
    <w:name w:val="附录四级条标题"/>
    <w:basedOn w:val="62"/>
    <w:next w:val="20"/>
    <w:qFormat/>
    <w:uiPriority w:val="0"/>
    <w:pPr>
      <w:numPr>
        <w:ilvl w:val="5"/>
      </w:numPr>
      <w:outlineLvl w:val="5"/>
    </w:pPr>
  </w:style>
  <w:style w:type="paragraph" w:customStyle="1" w:styleId="10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附录四级无"/>
    <w:basedOn w:val="103"/>
    <w:qFormat/>
    <w:uiPriority w:val="0"/>
    <w:pPr>
      <w:tabs>
        <w:tab w:val="clear" w:pos="360"/>
      </w:tabs>
      <w:spacing w:beforeLines="0" w:afterLines="0"/>
    </w:pPr>
    <w:rPr>
      <w:rFonts w:ascii="宋体" w:eastAsia="宋体"/>
      <w:szCs w:val="21"/>
    </w:rPr>
  </w:style>
  <w:style w:type="paragraph" w:customStyle="1" w:styleId="107">
    <w:name w:val="附录图标号"/>
    <w:basedOn w:val="1"/>
    <w:uiPriority w:val="0"/>
    <w:pPr>
      <w:keepNext/>
      <w:pageBreakBefore/>
      <w:widowControl/>
      <w:numPr>
        <w:ilvl w:val="0"/>
        <w:numId w:val="16"/>
      </w:numPr>
      <w:spacing w:line="14" w:lineRule="exact"/>
      <w:ind w:left="0" w:firstLine="363"/>
      <w:jc w:val="center"/>
      <w:outlineLvl w:val="0"/>
    </w:pPr>
    <w:rPr>
      <w:color w:val="FFFFFF"/>
    </w:rPr>
  </w:style>
  <w:style w:type="paragraph" w:customStyle="1" w:styleId="108">
    <w:name w:val="附录字母编号列项（一级）"/>
    <w:qFormat/>
    <w:uiPriority w:val="0"/>
    <w:pPr>
      <w:numPr>
        <w:ilvl w:val="0"/>
        <w:numId w:val="15"/>
      </w:numPr>
    </w:pPr>
    <w:rPr>
      <w:rFonts w:ascii="宋体" w:hAnsi="Times New Roman" w:eastAsia="宋体" w:cs="Times New Roman"/>
      <w:sz w:val="21"/>
      <w:lang w:val="en-US" w:eastAsia="zh-CN" w:bidi="ar-SA"/>
    </w:rPr>
  </w:style>
  <w:style w:type="paragraph" w:customStyle="1" w:styleId="109">
    <w:name w:val="附录图标题"/>
    <w:basedOn w:val="1"/>
    <w:next w:val="20"/>
    <w:uiPriority w:val="0"/>
    <w:pPr>
      <w:numPr>
        <w:ilvl w:val="1"/>
        <w:numId w:val="16"/>
      </w:numPr>
      <w:tabs>
        <w:tab w:val="left" w:pos="363"/>
      </w:tabs>
      <w:spacing w:beforeLines="50" w:afterLines="50"/>
      <w:ind w:left="0" w:firstLine="0"/>
      <w:jc w:val="center"/>
    </w:pPr>
    <w:rPr>
      <w:rFonts w:ascii="黑体" w:eastAsia="黑体"/>
      <w:szCs w:val="21"/>
    </w:rPr>
  </w:style>
  <w:style w:type="paragraph" w:customStyle="1" w:styleId="110">
    <w:name w:val="示例后文字"/>
    <w:basedOn w:val="20"/>
    <w:next w:val="20"/>
    <w:qFormat/>
    <w:uiPriority w:val="0"/>
    <w:pPr>
      <w:ind w:firstLine="360"/>
    </w:pPr>
    <w:rPr>
      <w:sz w:val="18"/>
    </w:rPr>
  </w:style>
  <w:style w:type="paragraph" w:customStyle="1" w:styleId="111">
    <w:name w:val="附录五级条标题"/>
    <w:basedOn w:val="103"/>
    <w:next w:val="20"/>
    <w:uiPriority w:val="0"/>
    <w:pPr>
      <w:numPr>
        <w:ilvl w:val="6"/>
      </w:numPr>
      <w:outlineLvl w:val="6"/>
    </w:pPr>
  </w:style>
  <w:style w:type="paragraph" w:customStyle="1" w:styleId="112">
    <w:name w:val="图表脚注说明"/>
    <w:basedOn w:val="1"/>
    <w:uiPriority w:val="0"/>
    <w:pPr>
      <w:numPr>
        <w:ilvl w:val="0"/>
        <w:numId w:val="17"/>
      </w:numPr>
    </w:pPr>
    <w:rPr>
      <w:rFonts w:ascii="宋体"/>
      <w:sz w:val="18"/>
      <w:szCs w:val="18"/>
    </w:rPr>
  </w:style>
  <w:style w:type="paragraph" w:customStyle="1" w:styleId="113">
    <w:name w:val="前言、引言标题"/>
    <w:next w:val="20"/>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4">
    <w:name w:val="附录五级无"/>
    <w:basedOn w:val="111"/>
    <w:uiPriority w:val="0"/>
    <w:pPr>
      <w:tabs>
        <w:tab w:val="clear" w:pos="360"/>
      </w:tabs>
      <w:spacing w:beforeLines="0" w:afterLines="0"/>
    </w:pPr>
    <w:rPr>
      <w:rFonts w:ascii="宋体" w:eastAsia="宋体"/>
      <w:szCs w:val="21"/>
    </w:rPr>
  </w:style>
  <w:style w:type="paragraph" w:customStyle="1" w:styleId="115">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16">
    <w:name w:val="其他标准标志"/>
    <w:basedOn w:val="65"/>
    <w:uiPriority w:val="0"/>
    <w:pPr>
      <w:framePr w:w="6101" w:vAnchor="page" w:hAnchor="page" w:x="4673" w:y="942"/>
    </w:pPr>
    <w:rPr>
      <w:w w:val="130"/>
    </w:rPr>
  </w:style>
  <w:style w:type="paragraph" w:customStyle="1" w:styleId="117">
    <w:name w:val="附录一级条标题"/>
    <w:basedOn w:val="98"/>
    <w:next w:val="20"/>
    <w:uiPriority w:val="0"/>
    <w:pPr>
      <w:numPr>
        <w:ilvl w:val="2"/>
      </w:numPr>
      <w:autoSpaceDN w:val="0"/>
      <w:spacing w:beforeLines="50" w:afterLines="50"/>
      <w:outlineLvl w:val="2"/>
    </w:pPr>
  </w:style>
  <w:style w:type="paragraph" w:customStyle="1" w:styleId="118">
    <w:name w:val="附录一级无"/>
    <w:basedOn w:val="117"/>
    <w:uiPriority w:val="0"/>
    <w:pPr>
      <w:tabs>
        <w:tab w:val="clear" w:pos="360"/>
      </w:tabs>
      <w:spacing w:beforeLines="0" w:afterLines="0"/>
    </w:pPr>
    <w:rPr>
      <w:rFonts w:ascii="宋体" w:eastAsia="宋体"/>
      <w:szCs w:val="21"/>
    </w:rPr>
  </w:style>
  <w:style w:type="paragraph" w:customStyle="1" w:styleId="119">
    <w:name w:val="其他发布部门"/>
    <w:basedOn w:val="88"/>
    <w:qFormat/>
    <w:uiPriority w:val="0"/>
    <w:pPr>
      <w:framePr w:y="15310"/>
      <w:spacing w:line="0" w:lineRule="atLeast"/>
    </w:pPr>
    <w:rPr>
      <w:rFonts w:ascii="黑体" w:eastAsia="黑体"/>
      <w:b w:val="0"/>
    </w:rPr>
  </w:style>
  <w:style w:type="paragraph" w:customStyle="1" w:styleId="120">
    <w:name w:val="三级无"/>
    <w:basedOn w:val="40"/>
    <w:uiPriority w:val="0"/>
    <w:pPr>
      <w:spacing w:beforeLines="0" w:afterLines="0"/>
    </w:pPr>
    <w:rPr>
      <w:rFonts w:ascii="宋体" w:eastAsia="宋体"/>
    </w:rPr>
  </w:style>
  <w:style w:type="paragraph" w:customStyle="1" w:styleId="121">
    <w:name w:val="四级无"/>
    <w:basedOn w:val="39"/>
    <w:uiPriority w:val="0"/>
    <w:pPr>
      <w:spacing w:beforeLines="0" w:afterLines="0"/>
    </w:pPr>
    <w:rPr>
      <w:rFonts w:ascii="宋体" w:eastAsia="宋体"/>
    </w:rPr>
  </w:style>
  <w:style w:type="paragraph" w:customStyle="1" w:styleId="122">
    <w:name w:val="条文脚注"/>
    <w:basedOn w:val="21"/>
    <w:qFormat/>
    <w:uiPriority w:val="0"/>
    <w:pPr>
      <w:numPr>
        <w:numId w:val="0"/>
      </w:numPr>
      <w:jc w:val="both"/>
    </w:pPr>
  </w:style>
  <w:style w:type="paragraph" w:customStyle="1" w:styleId="123">
    <w:name w:val="图标脚注说明"/>
    <w:basedOn w:val="20"/>
    <w:uiPriority w:val="0"/>
    <w:pPr>
      <w:ind w:left="840" w:hanging="420" w:firstLineChars="0"/>
    </w:pPr>
    <w:rPr>
      <w:sz w:val="18"/>
      <w:szCs w:val="18"/>
    </w:rPr>
  </w:style>
  <w:style w:type="paragraph" w:customStyle="1" w:styleId="124">
    <w:name w:val="封面标准英文名称2"/>
    <w:basedOn w:val="51"/>
    <w:uiPriority w:val="0"/>
    <w:pPr>
      <w:framePr w:y="4469"/>
    </w:pPr>
  </w:style>
  <w:style w:type="paragraph" w:customStyle="1" w:styleId="125">
    <w:name w:val="正文公式编号制表符"/>
    <w:basedOn w:val="20"/>
    <w:next w:val="20"/>
    <w:qFormat/>
    <w:uiPriority w:val="0"/>
    <w:pPr>
      <w:ind w:firstLine="0" w:firstLineChars="0"/>
    </w:pPr>
  </w:style>
  <w:style w:type="paragraph" w:customStyle="1" w:styleId="126">
    <w:name w:val="其他实施日期"/>
    <w:basedOn w:val="87"/>
    <w:uiPriority w:val="0"/>
    <w:pPr>
      <w:framePr/>
    </w:pPr>
  </w:style>
  <w:style w:type="paragraph" w:customStyle="1" w:styleId="127">
    <w:name w:val="封面标准名称2"/>
    <w:basedOn w:val="52"/>
    <w:uiPriority w:val="0"/>
    <w:pPr>
      <w:framePr w:y="4469"/>
      <w:spacing w:beforeLines="630"/>
    </w:pPr>
  </w:style>
  <w:style w:type="paragraph" w:customStyle="1" w:styleId="128">
    <w:name w:val="封面标准文稿编辑信息2"/>
    <w:basedOn w:val="90"/>
    <w:uiPriority w:val="0"/>
    <w:pPr>
      <w:framePr w:y="4469"/>
    </w:pPr>
  </w:style>
  <w:style w:type="character" w:customStyle="1" w:styleId="129">
    <w:name w:val="附录公式 Char"/>
    <w:basedOn w:val="130"/>
    <w:link w:val="78"/>
    <w:uiPriority w:val="0"/>
  </w:style>
  <w:style w:type="character" w:customStyle="1" w:styleId="130">
    <w:name w:val="段 Char"/>
    <w:basedOn w:val="28"/>
    <w:link w:val="20"/>
    <w:uiPriority w:val="0"/>
    <w:rPr>
      <w:rFonts w:ascii="宋体"/>
      <w:sz w:val="21"/>
      <w:lang w:val="en-US" w:eastAsia="zh-CN" w:bidi="ar-SA"/>
    </w:rPr>
  </w:style>
  <w:style w:type="character" w:customStyle="1" w:styleId="131">
    <w:name w:val="首示例 Char"/>
    <w:basedOn w:val="28"/>
    <w:link w:val="89"/>
    <w:uiPriority w:val="0"/>
    <w:rPr>
      <w:rFonts w:ascii="宋体" w:hAnsi="宋体"/>
      <w:kern w:val="2"/>
      <w:sz w:val="18"/>
      <w:szCs w:val="18"/>
      <w:lang w:val="en-US" w:eastAsia="zh-CN" w:bidi="ar-SA"/>
    </w:rPr>
  </w:style>
  <w:style w:type="character" w:customStyle="1" w:styleId="132">
    <w:name w:val="发布"/>
    <w:basedOn w:val="28"/>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9996;&#20248;12&#36229;&#39640;&#20135;&#26685;&#22521;&#25216;&#26415;&#25805;&#20316;&#35268;&#31243;&#65288;&#25253;&#25209;&#31295;&#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31"/>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甬优12超高产栽培技术操作规程（报批稿）</Template>
  <Pages>1</Pages>
  <Words>1152</Words>
  <Characters>6568</Characters>
  <Lines>54</Lines>
  <Paragraphs>15</Paragraphs>
  <ScaleCrop>false</ScaleCrop>
  <LinksUpToDate>false</LinksUpToDate>
  <CharactersWithSpaces>7705</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2018-01-15T00:00:00Z</dcterms:created>
  <dcterms:modified xsi:type="dcterms:W3CDTF">2018-02-14T03:37:47Z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